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8A6F1" w14:textId="77777777" w:rsidR="0005230F" w:rsidRDefault="00A220B0">
      <w:pPr>
        <w:pStyle w:val="Title"/>
        <w:spacing w:before="0" w:after="60" w:line="276" w:lineRule="auto"/>
        <w:jc w:val="center"/>
      </w:pPr>
      <w:bookmarkStart w:id="0" w:name="_qofu1njqkgap" w:colFirst="0" w:colLast="0"/>
      <w:bookmarkEnd w:id="0"/>
      <w:r>
        <w:rPr>
          <w:rFonts w:ascii="Oswald" w:eastAsia="Oswald" w:hAnsi="Oswald" w:cs="Oswald"/>
          <w:b w:val="0"/>
          <w:sz w:val="36"/>
          <w:szCs w:val="36"/>
        </w:rPr>
        <w:t xml:space="preserve">Assignment #2: </w:t>
      </w:r>
      <w:r>
        <w:rPr>
          <w:rFonts w:ascii="Oswald" w:eastAsia="Oswald" w:hAnsi="Oswald" w:cs="Oswald"/>
          <w:b w:val="0"/>
          <w:sz w:val="36"/>
          <w:szCs w:val="36"/>
        </w:rPr>
        <w:br/>
        <w:t>Disability Current Affairs: Justice for Isaias Cervantes</w:t>
      </w:r>
    </w:p>
    <w:p w14:paraId="6F090E51" w14:textId="77777777" w:rsidR="0005230F" w:rsidRDefault="00A220B0">
      <w:pPr>
        <w:pStyle w:val="Heading1"/>
        <w:rPr>
          <w:sz w:val="32"/>
          <w:szCs w:val="32"/>
        </w:rPr>
      </w:pPr>
      <w:bookmarkStart w:id="1" w:name="_p6hoh8guhiz" w:colFirst="0" w:colLast="0"/>
      <w:bookmarkEnd w:id="1"/>
      <w:r>
        <w:rPr>
          <w:sz w:val="32"/>
          <w:szCs w:val="32"/>
        </w:rPr>
        <w:t xml:space="preserve">Background: </w:t>
      </w:r>
    </w:p>
    <w:p w14:paraId="49771E0E" w14:textId="77777777" w:rsidR="0005230F" w:rsidRDefault="00A220B0">
      <w:pPr>
        <w:rPr>
          <w:sz w:val="24"/>
          <w:szCs w:val="24"/>
          <w:highlight w:val="yellow"/>
        </w:rPr>
      </w:pPr>
      <w:r>
        <w:rPr>
          <w:sz w:val="24"/>
          <w:szCs w:val="24"/>
        </w:rPr>
        <w:t>Families around the world fear the day their loved ones will be in a position that leaves them vulnerable to misunderstanding and ultimately, injustice, injury, or death. One such case came to be in Los Angeles, California, in March of 2021, when Isaias Ce</w:t>
      </w:r>
      <w:r>
        <w:rPr>
          <w:sz w:val="24"/>
          <w:szCs w:val="24"/>
        </w:rPr>
        <w:t xml:space="preserve">rvantes’ life, and his family’s life, was forever altered. </w:t>
      </w:r>
    </w:p>
    <w:p w14:paraId="79C8D6D3" w14:textId="77777777" w:rsidR="0005230F" w:rsidRDefault="00A220B0">
      <w:pPr>
        <w:pStyle w:val="Heading1"/>
        <w:spacing w:line="240" w:lineRule="auto"/>
        <w:rPr>
          <w:sz w:val="32"/>
          <w:szCs w:val="32"/>
        </w:rPr>
      </w:pPr>
      <w:bookmarkStart w:id="2" w:name="_q7ang6ljtec" w:colFirst="0" w:colLast="0"/>
      <w:bookmarkEnd w:id="2"/>
      <w:r>
        <w:rPr>
          <w:sz w:val="32"/>
          <w:szCs w:val="32"/>
        </w:rPr>
        <w:t xml:space="preserve">Learning Objectives: </w:t>
      </w:r>
    </w:p>
    <w:p w14:paraId="28E65164" w14:textId="77777777" w:rsidR="0005230F" w:rsidRDefault="00A220B0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Students will research and summarize the story of Isaias Cervantes.</w:t>
      </w:r>
    </w:p>
    <w:p w14:paraId="26CD432B" w14:textId="77777777" w:rsidR="0005230F" w:rsidRDefault="00A220B0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Students will research and compare Isaias’ story to one other current story (within the last 5 years) of t</w:t>
      </w:r>
      <w:r>
        <w:rPr>
          <w:sz w:val="24"/>
          <w:szCs w:val="24"/>
        </w:rPr>
        <w:t xml:space="preserve">he intersection between the disability experience and law enforcement. </w:t>
      </w:r>
    </w:p>
    <w:p w14:paraId="2B969A4B" w14:textId="77777777" w:rsidR="0005230F" w:rsidRDefault="00A220B0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Students will apply their knowledge of course concepts to the topic of justice for people with disabilities.</w:t>
      </w:r>
    </w:p>
    <w:p w14:paraId="4BAA08A3" w14:textId="77777777" w:rsidR="0005230F" w:rsidRDefault="00A220B0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Students will explore alternatives to law enforcement intervention during b</w:t>
      </w:r>
      <w:r>
        <w:rPr>
          <w:sz w:val="24"/>
          <w:szCs w:val="24"/>
        </w:rPr>
        <w:t>ehavioral crises.</w:t>
      </w:r>
    </w:p>
    <w:p w14:paraId="551A2370" w14:textId="77777777" w:rsidR="0005230F" w:rsidRDefault="00A220B0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Students will examine the controversies surrounding disability and conservatorship and evaluate their own perspectives on these issues.</w:t>
      </w:r>
    </w:p>
    <w:p w14:paraId="66CE71CD" w14:textId="77777777" w:rsidR="0005230F" w:rsidRDefault="00A220B0">
      <w:pPr>
        <w:pStyle w:val="Heading1"/>
        <w:spacing w:after="0" w:line="240" w:lineRule="auto"/>
        <w:rPr>
          <w:sz w:val="32"/>
          <w:szCs w:val="32"/>
        </w:rPr>
      </w:pPr>
      <w:bookmarkStart w:id="3" w:name="_sy8z5e9bo9qs" w:colFirst="0" w:colLast="0"/>
      <w:bookmarkEnd w:id="3"/>
      <w:r>
        <w:rPr>
          <w:sz w:val="32"/>
          <w:szCs w:val="32"/>
        </w:rPr>
        <w:t>Assignment Content Requirements</w:t>
      </w:r>
    </w:p>
    <w:p w14:paraId="18F0B7D1" w14:textId="77777777" w:rsidR="0005230F" w:rsidRDefault="00A220B0">
      <w:pPr>
        <w:rPr>
          <w:b/>
          <w:sz w:val="24"/>
          <w:szCs w:val="24"/>
        </w:rPr>
      </w:pPr>
      <w:r>
        <w:t>You are required to complete the following prompts. For each prompt, p</w:t>
      </w:r>
      <w:r>
        <w:t xml:space="preserve">lease write 1-3 paragraphs. </w:t>
      </w:r>
    </w:p>
    <w:p w14:paraId="65C88771" w14:textId="77777777" w:rsidR="0005230F" w:rsidRDefault="00A220B0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Research and summarize the story of Isaias Cervantes. Make sure to cite your sources (include link to your source). </w:t>
      </w:r>
    </w:p>
    <w:p w14:paraId="5900F4EF" w14:textId="77777777" w:rsidR="0005230F" w:rsidRDefault="00A220B0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Compare and contrast Isaias Cervantes’ story with one other current story (within the last 5 years) that inter</w:t>
      </w:r>
      <w:r>
        <w:rPr>
          <w:sz w:val="24"/>
          <w:szCs w:val="24"/>
        </w:rPr>
        <w:t xml:space="preserve">sects the disability experience with law and enforcement. Describe the similarities and differences between the cases. </w:t>
      </w:r>
    </w:p>
    <w:p w14:paraId="14C14A78" w14:textId="77777777" w:rsidR="0005230F" w:rsidRDefault="00A220B0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Research and summarize the movement for change in police intervention and community involvement in times of emergency or behavioral cris</w:t>
      </w:r>
      <w:r>
        <w:rPr>
          <w:sz w:val="24"/>
          <w:szCs w:val="24"/>
        </w:rPr>
        <w:t>is for people with developmental and intellectual disabilities. Explain some of the issues, arguments, and solutions that you find. Be sure to cite any sources used.</w:t>
      </w:r>
    </w:p>
    <w:p w14:paraId="5652A8AC" w14:textId="77777777" w:rsidR="0005230F" w:rsidRDefault="00A220B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Reflect on what you’ve learned in this course so far about ableism. How does the topic of </w:t>
      </w:r>
      <w:r>
        <w:rPr>
          <w:sz w:val="24"/>
          <w:szCs w:val="24"/>
        </w:rPr>
        <w:t>ableism apply to what you have learned in this assignment?</w:t>
      </w:r>
    </w:p>
    <w:p w14:paraId="3C1DA879" w14:textId="77777777" w:rsidR="0005230F" w:rsidRDefault="00A220B0">
      <w:pPr>
        <w:pStyle w:val="Heading1"/>
        <w:spacing w:after="0" w:line="240" w:lineRule="auto"/>
        <w:rPr>
          <w:sz w:val="24"/>
          <w:szCs w:val="24"/>
        </w:rPr>
      </w:pPr>
      <w:bookmarkStart w:id="4" w:name="_t36g77u4bk5z" w:colFirst="0" w:colLast="0"/>
      <w:bookmarkEnd w:id="4"/>
      <w:r>
        <w:rPr>
          <w:sz w:val="32"/>
          <w:szCs w:val="32"/>
        </w:rPr>
        <w:t>Assignment Format Requirements</w:t>
      </w:r>
    </w:p>
    <w:p w14:paraId="58D50990" w14:textId="77777777" w:rsidR="0005230F" w:rsidRDefault="00A220B0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12-point font</w:t>
      </w:r>
    </w:p>
    <w:p w14:paraId="7FDCD0D2" w14:textId="77777777" w:rsidR="0005230F" w:rsidRDefault="00A220B0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Double-spaced</w:t>
      </w:r>
    </w:p>
    <w:p w14:paraId="5543FDA0" w14:textId="77777777" w:rsidR="0005230F" w:rsidRDefault="00A220B0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2-page minimum</w:t>
      </w:r>
    </w:p>
    <w:p w14:paraId="2C65CE59" w14:textId="77777777" w:rsidR="0005230F" w:rsidRDefault="00A220B0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Question/Answer format is acceptable and preferred</w:t>
      </w:r>
    </w:p>
    <w:p w14:paraId="58AA0366" w14:textId="77777777" w:rsidR="0005230F" w:rsidRDefault="00A220B0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No formal MLA or APA formatting required, just be sure to include the information somewhere in your work </w:t>
      </w:r>
    </w:p>
    <w:p w14:paraId="0D513C72" w14:textId="77777777" w:rsidR="0005230F" w:rsidRDefault="000523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sz w:val="24"/>
          <w:szCs w:val="24"/>
        </w:rPr>
      </w:pPr>
    </w:p>
    <w:p w14:paraId="00889378" w14:textId="77777777" w:rsidR="0005230F" w:rsidRDefault="000523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sz w:val="24"/>
          <w:szCs w:val="24"/>
        </w:rPr>
      </w:pPr>
    </w:p>
    <w:p w14:paraId="128E22F6" w14:textId="77777777" w:rsidR="0005230F" w:rsidRDefault="00A220B0">
      <w:pPr>
        <w:pStyle w:val="Title"/>
        <w:spacing w:line="240" w:lineRule="auto"/>
        <w:ind w:left="720"/>
        <w:jc w:val="center"/>
        <w:rPr>
          <w:sz w:val="36"/>
          <w:szCs w:val="36"/>
        </w:rPr>
      </w:pPr>
      <w:bookmarkStart w:id="5" w:name="_25w09eigteb7" w:colFirst="0" w:colLast="0"/>
      <w:bookmarkEnd w:id="5"/>
      <w:r>
        <w:rPr>
          <w:sz w:val="36"/>
          <w:szCs w:val="36"/>
        </w:rPr>
        <w:t>Assignment #2 Rubric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340"/>
        <w:gridCol w:w="2355"/>
        <w:gridCol w:w="2325"/>
      </w:tblGrid>
      <w:tr w:rsidR="0005230F" w14:paraId="2D508617" w14:textId="77777777">
        <w:trPr>
          <w:trHeight w:val="795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DFEBF7" w14:textId="77777777" w:rsidR="0005230F" w:rsidRDefault="00A220B0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Criteria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C5BB4" w14:textId="77777777" w:rsidR="0005230F" w:rsidRDefault="00A220B0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Meets Standard</w:t>
            </w:r>
            <w:r>
              <w:rPr>
                <w:b/>
              </w:rPr>
              <w:br/>
              <w:t>(10 pts)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06D916" w14:textId="77777777" w:rsidR="0005230F" w:rsidRDefault="00A220B0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Approaching Standard</w:t>
            </w:r>
          </w:p>
          <w:p w14:paraId="7FC312E1" w14:textId="77777777" w:rsidR="0005230F" w:rsidRDefault="00A220B0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(9-7 pts)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B84589" w14:textId="77777777" w:rsidR="0005230F" w:rsidRDefault="00A220B0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Below Standard</w:t>
            </w:r>
            <w:r>
              <w:rPr>
                <w:b/>
              </w:rPr>
              <w:br/>
              <w:t>(6-0)</w:t>
            </w:r>
          </w:p>
        </w:tc>
      </w:tr>
      <w:tr w:rsidR="0005230F" w14:paraId="1A52649F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34FACC" w14:textId="77777777" w:rsidR="0005230F" w:rsidRDefault="0005230F">
            <w:pPr>
              <w:spacing w:after="0" w:line="240" w:lineRule="auto"/>
              <w:jc w:val="center"/>
              <w:rPr>
                <w:b/>
              </w:rPr>
            </w:pPr>
          </w:p>
          <w:p w14:paraId="5C8620CD" w14:textId="77777777" w:rsidR="0005230F" w:rsidRDefault="00A220B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Assignment Content</w:t>
            </w:r>
            <w:r>
              <w:rPr>
                <w:b/>
              </w:rPr>
              <w:br/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A53742" w14:textId="77777777" w:rsidR="0005230F" w:rsidRDefault="00A220B0">
            <w:pPr>
              <w:spacing w:after="0" w:line="240" w:lineRule="auto"/>
            </w:pPr>
            <w:r>
              <w:t xml:space="preserve">Assignment includes 3 references and responses to all prompts. 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45B032" w14:textId="77777777" w:rsidR="0005230F" w:rsidRDefault="00A220B0">
            <w:pPr>
              <w:widowControl w:val="0"/>
              <w:spacing w:after="0" w:line="240" w:lineRule="auto"/>
            </w:pPr>
            <w:r>
              <w:t xml:space="preserve">Assignment is missing one  or two  required parts. 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856A78" w14:textId="77777777" w:rsidR="0005230F" w:rsidRDefault="00A220B0">
            <w:pPr>
              <w:widowControl w:val="0"/>
              <w:spacing w:after="0" w:line="240" w:lineRule="auto"/>
            </w:pPr>
            <w:r>
              <w:t xml:space="preserve">Assignment is missing more than two required parts. </w:t>
            </w:r>
          </w:p>
        </w:tc>
      </w:tr>
      <w:tr w:rsidR="0005230F" w14:paraId="3E793991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EAF84F" w14:textId="77777777" w:rsidR="0005230F" w:rsidRDefault="00A220B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Thoughtful Responses to</w:t>
            </w:r>
          </w:p>
          <w:p w14:paraId="0244D2A8" w14:textId="77777777" w:rsidR="0005230F" w:rsidRDefault="00A220B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Each Section</w:t>
            </w:r>
          </w:p>
          <w:p w14:paraId="25523659" w14:textId="77777777" w:rsidR="0005230F" w:rsidRDefault="0005230F">
            <w:pPr>
              <w:widowControl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FBBA77" w14:textId="77777777" w:rsidR="0005230F" w:rsidRDefault="00A220B0">
            <w:pPr>
              <w:widowControl w:val="0"/>
              <w:spacing w:after="0" w:line="240" w:lineRule="auto"/>
            </w:pPr>
            <w:r>
              <w:t xml:space="preserve">Responses demonstrate clear understanding of the questions/prompts. Responses  are thoughtful, cohesive, descriptive, and complete. 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2D58AD" w14:textId="77777777" w:rsidR="0005230F" w:rsidRDefault="00A220B0">
            <w:pPr>
              <w:widowControl w:val="0"/>
              <w:spacing w:after="0" w:line="240" w:lineRule="auto"/>
            </w:pPr>
            <w:r>
              <w:t xml:space="preserve">Responses demonstrate partial understanding of the questions/prompts, and/or responses are incomplete. 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AF9878" w14:textId="77777777" w:rsidR="0005230F" w:rsidRDefault="00A220B0">
            <w:pPr>
              <w:widowControl w:val="0"/>
              <w:spacing w:after="0" w:line="240" w:lineRule="auto"/>
            </w:pPr>
            <w:r>
              <w:t>Responses do not de</w:t>
            </w:r>
            <w:r>
              <w:t xml:space="preserve">monstrate understanding of the questions/prompts, and/or minimal effort is evident. </w:t>
            </w:r>
          </w:p>
        </w:tc>
      </w:tr>
      <w:tr w:rsidR="0005230F" w14:paraId="3DF8A310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A240D3" w14:textId="77777777" w:rsidR="0005230F" w:rsidRDefault="00A220B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Written</w:t>
            </w:r>
          </w:p>
          <w:p w14:paraId="2A9DADA1" w14:textId="77777777" w:rsidR="0005230F" w:rsidRDefault="00A220B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Expression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1ABE32" w14:textId="77777777" w:rsidR="0005230F" w:rsidRDefault="00A220B0">
            <w:pPr>
              <w:widowControl w:val="0"/>
              <w:spacing w:after="0" w:line="240" w:lineRule="auto"/>
            </w:pPr>
            <w:r>
              <w:t>Writing flows and is easy to comprehend and grade. Uses appropriate grammar and punctuation to clearly express thoughts.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FF73A8" w14:textId="77777777" w:rsidR="0005230F" w:rsidRDefault="00A220B0">
            <w:pPr>
              <w:widowControl w:val="0"/>
              <w:spacing w:after="0" w:line="240" w:lineRule="auto"/>
            </w:pPr>
            <w:r>
              <w:t>Writing includes some errors i</w:t>
            </w:r>
            <w:r>
              <w:t xml:space="preserve">n grammar and/or punctuation, or is lacking in clear expression, but it is comprehensible  enough that the reader can understand. 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04D8A8" w14:textId="77777777" w:rsidR="0005230F" w:rsidRDefault="00A220B0">
            <w:pPr>
              <w:widowControl w:val="0"/>
              <w:spacing w:after="0" w:line="240" w:lineRule="auto"/>
            </w:pPr>
            <w:r>
              <w:t xml:space="preserve">Writing has many errors in grammar and/or punctuation and is confusing or difficult to understand. </w:t>
            </w:r>
          </w:p>
        </w:tc>
      </w:tr>
      <w:tr w:rsidR="0005230F" w14:paraId="3A591801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94645F" w14:textId="77777777" w:rsidR="0005230F" w:rsidRDefault="00A220B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Disability Related Language 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DB55E6" w14:textId="77777777" w:rsidR="0005230F" w:rsidRDefault="00A220B0">
            <w:pPr>
              <w:widowControl w:val="0"/>
              <w:spacing w:after="0" w:line="240" w:lineRule="auto"/>
            </w:pPr>
            <w:r>
              <w:t xml:space="preserve">Assignment utilizes appropriate disability related language. Uses person-first language unless the student is a person with a </w:t>
            </w:r>
            <w:r>
              <w:t xml:space="preserve">disability (PWD) and indicates identity-first language preference). </w:t>
            </w:r>
            <w:r>
              <w:lastRenderedPageBreak/>
              <w:t>Assignment avoids the use of inspiration porn or outdated, inappropriate disability-related euphemisms or terms. Wording affirms dignity.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7B13AC" w14:textId="77777777" w:rsidR="0005230F" w:rsidRDefault="00A220B0">
            <w:pPr>
              <w:widowControl w:val="0"/>
              <w:spacing w:after="0" w:line="240" w:lineRule="auto"/>
            </w:pPr>
            <w:r>
              <w:lastRenderedPageBreak/>
              <w:t xml:space="preserve">Assignment mostly utilizes appropriate disability </w:t>
            </w:r>
            <w:r>
              <w:t xml:space="preserve">related language. Mostly uses person-first language (unless identity-first language preferred by PWD). Assignment includes minimal </w:t>
            </w:r>
            <w:r>
              <w:lastRenderedPageBreak/>
              <w:t>inspiration porn or outdated, inappropriate disability-related euphemisms or terms. Wording may not always affirm dignity.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AE9362" w14:textId="77777777" w:rsidR="0005230F" w:rsidRDefault="00A220B0">
            <w:pPr>
              <w:widowControl w:val="0"/>
              <w:spacing w:after="0" w:line="240" w:lineRule="auto"/>
            </w:pPr>
            <w:r>
              <w:lastRenderedPageBreak/>
              <w:t>As</w:t>
            </w:r>
            <w:r>
              <w:t xml:space="preserve">signment uses inappropriate disability-related terminology, including inspiration porn, euphemisms, and terms that affronts the dignity of people with disabilities. </w:t>
            </w:r>
          </w:p>
        </w:tc>
      </w:tr>
    </w:tbl>
    <w:p w14:paraId="06FAAC84" w14:textId="77777777" w:rsidR="0005230F" w:rsidRDefault="0005230F">
      <w:pPr>
        <w:spacing w:after="0" w:line="240" w:lineRule="auto"/>
        <w:ind w:left="720"/>
        <w:rPr>
          <w:sz w:val="24"/>
          <w:szCs w:val="24"/>
        </w:rPr>
      </w:pPr>
    </w:p>
    <w:p w14:paraId="59B908BC" w14:textId="77777777" w:rsidR="0005230F" w:rsidRDefault="000523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sz w:val="24"/>
          <w:szCs w:val="24"/>
        </w:rPr>
      </w:pPr>
    </w:p>
    <w:sectPr w:rsidR="0005230F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A3757" w14:textId="77777777" w:rsidR="00A220B0" w:rsidRDefault="00A220B0">
      <w:pPr>
        <w:spacing w:after="0" w:line="240" w:lineRule="auto"/>
      </w:pPr>
      <w:r>
        <w:separator/>
      </w:r>
    </w:p>
  </w:endnote>
  <w:endnote w:type="continuationSeparator" w:id="0">
    <w:p w14:paraId="6EACBFE4" w14:textId="77777777" w:rsidR="00A220B0" w:rsidRDefault="00A22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Oswald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AC767" w14:textId="77777777" w:rsidR="00A220B0" w:rsidRDefault="00A220B0">
      <w:pPr>
        <w:spacing w:after="0" w:line="240" w:lineRule="auto"/>
      </w:pPr>
      <w:r>
        <w:separator/>
      </w:r>
    </w:p>
  </w:footnote>
  <w:footnote w:type="continuationSeparator" w:id="0">
    <w:p w14:paraId="313A49F2" w14:textId="77777777" w:rsidR="00A220B0" w:rsidRDefault="00A22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AD713" w14:textId="77777777" w:rsidR="0005230F" w:rsidRDefault="00A220B0">
    <w:pPr>
      <w:spacing w:after="0" w:line="276" w:lineRule="auto"/>
      <w:jc w:val="right"/>
      <w:rPr>
        <w:color w:val="000000"/>
      </w:rPr>
    </w:pPr>
    <w:r>
      <w:rPr>
        <w:rFonts w:ascii="Arial" w:eastAsia="Arial" w:hAnsi="Arial" w:cs="Arial"/>
        <w:sz w:val="16"/>
        <w:szCs w:val="16"/>
      </w:rPr>
      <w:t>Gen S420 Spring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E064A"/>
    <w:multiLevelType w:val="multilevel"/>
    <w:tmpl w:val="D3DC324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B097A16"/>
    <w:multiLevelType w:val="multilevel"/>
    <w:tmpl w:val="E2B2556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5ADB58E6"/>
    <w:multiLevelType w:val="multilevel"/>
    <w:tmpl w:val="565698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30F"/>
    <w:rsid w:val="0005230F"/>
    <w:rsid w:val="00A220B0"/>
    <w:rsid w:val="00D03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682033"/>
  <w15:docId w15:val="{B2DAFA05-4701-4DFD-9C52-A6E4D020B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609</Words>
  <Characters>3477</Characters>
  <Application>Microsoft Office Word</Application>
  <DocSecurity>0</DocSecurity>
  <Lines>28</Lines>
  <Paragraphs>8</Paragraphs>
  <ScaleCrop>false</ScaleCrop>
  <Company/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Moreen</dc:creator>
  <cp:lastModifiedBy>Meedo Meedo</cp:lastModifiedBy>
  <cp:revision>2</cp:revision>
  <dcterms:created xsi:type="dcterms:W3CDTF">2022-03-14T04:14:00Z</dcterms:created>
  <dcterms:modified xsi:type="dcterms:W3CDTF">2022-03-14T04:14:00Z</dcterms:modified>
</cp:coreProperties>
</file>