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bottomFromText="160" w:vertAnchor="text"/>
        <w:tblW w:w="5039" w:type="pct"/>
        <w:tblLook w:val="04A0" w:firstRow="1" w:lastRow="0" w:firstColumn="1" w:lastColumn="0" w:noHBand="0" w:noVBand="1"/>
      </w:tblPr>
      <w:tblGrid>
        <w:gridCol w:w="2354"/>
        <w:gridCol w:w="1901"/>
        <w:gridCol w:w="585"/>
        <w:gridCol w:w="2218"/>
        <w:gridCol w:w="2355"/>
      </w:tblGrid>
      <w:tr w:rsidR="002E648B" w14:paraId="17902289" w14:textId="77777777" w:rsidTr="002E648B">
        <w:trPr>
          <w:trHeight w:val="521"/>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EADCF4"/>
            <w:tcMar>
              <w:top w:w="0" w:type="dxa"/>
              <w:left w:w="0" w:type="dxa"/>
              <w:bottom w:w="0" w:type="dxa"/>
              <w:right w:w="0" w:type="dxa"/>
            </w:tcMar>
            <w:hideMark/>
          </w:tcPr>
          <w:p w14:paraId="0525D605" w14:textId="77777777" w:rsidR="002E648B" w:rsidRDefault="002E648B">
            <w:pPr>
              <w:pStyle w:val="TableParagraph"/>
              <w:spacing w:before="108" w:line="256" w:lineRule="auto"/>
              <w:ind w:left="110"/>
            </w:pPr>
            <w:r>
              <w:rPr>
                <w:b/>
                <w:bCs/>
                <w:color w:val="000000"/>
              </w:rPr>
              <w:t>Please tick whether you are submitting a draft or your summative assessment:</w:t>
            </w:r>
          </w:p>
        </w:tc>
      </w:tr>
      <w:tr w:rsidR="002E648B" w14:paraId="67552EDE" w14:textId="77777777" w:rsidTr="002E648B">
        <w:trPr>
          <w:trHeight w:val="521"/>
        </w:trPr>
        <w:tc>
          <w:tcPr>
            <w:tcW w:w="1250" w:type="pct"/>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0F899566" w14:textId="77777777" w:rsidR="002E648B" w:rsidRDefault="002E648B">
            <w:pPr>
              <w:pStyle w:val="TableParagraph"/>
              <w:spacing w:before="108" w:line="256" w:lineRule="auto"/>
              <w:ind w:left="110"/>
            </w:pPr>
            <w:r>
              <w:t>Draft</w:t>
            </w:r>
          </w:p>
        </w:tc>
        <w:sdt>
          <w:sdtPr>
            <w:rPr>
              <w:b/>
              <w:bCs/>
            </w:rPr>
            <w:id w:val="-1320651044"/>
            <w14:checkbox>
              <w14:checked w14:val="0"/>
              <w14:checkedState w14:val="2612" w14:font="MS Gothic"/>
              <w14:uncheckedState w14:val="2610" w14:font="MS Gothic"/>
            </w14:checkbox>
          </w:sdtPr>
          <w:sdtEndPr/>
          <w:sdtContent>
            <w:tc>
              <w:tcPr>
                <w:tcW w:w="1321" w:type="pct"/>
                <w:gridSpan w:val="2"/>
                <w:tcBorders>
                  <w:top w:val="nil"/>
                  <w:left w:val="nil"/>
                  <w:bottom w:val="single" w:sz="8" w:space="0" w:color="000000"/>
                  <w:right w:val="single" w:sz="8" w:space="0" w:color="000000"/>
                </w:tcBorders>
                <w:tcMar>
                  <w:top w:w="0" w:type="dxa"/>
                  <w:left w:w="0" w:type="dxa"/>
                  <w:bottom w:w="0" w:type="dxa"/>
                  <w:right w:w="0" w:type="dxa"/>
                </w:tcMar>
                <w:hideMark/>
              </w:tcPr>
              <w:p w14:paraId="2C35234D" w14:textId="400470DE" w:rsidR="002E648B" w:rsidRDefault="00661468">
                <w:pPr>
                  <w:pStyle w:val="TableParagraph"/>
                  <w:spacing w:before="108" w:line="256" w:lineRule="auto"/>
                  <w:ind w:left="110"/>
                  <w:jc w:val="center"/>
                </w:pPr>
                <w:r>
                  <w:rPr>
                    <w:rFonts w:ascii="MS Gothic" w:eastAsia="MS Gothic" w:hAnsi="MS Gothic" w:hint="eastAsia"/>
                    <w:b/>
                    <w:bCs/>
                  </w:rPr>
                  <w:t>☐</w:t>
                </w:r>
              </w:p>
            </w:tc>
          </w:sdtContent>
        </w:sdt>
        <w:tc>
          <w:tcPr>
            <w:tcW w:w="1178" w:type="pct"/>
            <w:tcBorders>
              <w:top w:val="nil"/>
              <w:left w:val="nil"/>
              <w:bottom w:val="single" w:sz="8" w:space="0" w:color="000000"/>
              <w:right w:val="single" w:sz="8" w:space="0" w:color="000000"/>
            </w:tcBorders>
            <w:tcMar>
              <w:top w:w="0" w:type="dxa"/>
              <w:left w:w="0" w:type="dxa"/>
              <w:bottom w:w="0" w:type="dxa"/>
              <w:right w:w="0" w:type="dxa"/>
            </w:tcMar>
            <w:hideMark/>
          </w:tcPr>
          <w:p w14:paraId="0D981220" w14:textId="77777777" w:rsidR="002E648B" w:rsidRDefault="002E648B">
            <w:pPr>
              <w:pStyle w:val="TableParagraph"/>
              <w:spacing w:before="108" w:line="256" w:lineRule="auto"/>
              <w:ind w:left="110"/>
            </w:pPr>
            <w:r>
              <w:t>Summative</w:t>
            </w:r>
          </w:p>
        </w:tc>
        <w:sdt>
          <w:sdtPr>
            <w:rPr>
              <w:b/>
              <w:bCs/>
            </w:rPr>
            <w:id w:val="-607353542"/>
            <w14:checkbox>
              <w14:checked w14:val="1"/>
              <w14:checkedState w14:val="2612" w14:font="MS Gothic"/>
              <w14:uncheckedState w14:val="2610" w14:font="MS Gothic"/>
            </w14:checkbox>
          </w:sdtPr>
          <w:sdtEndPr/>
          <w:sdtContent>
            <w:tc>
              <w:tcPr>
                <w:tcW w:w="1251" w:type="pct"/>
                <w:tcBorders>
                  <w:top w:val="nil"/>
                  <w:left w:val="nil"/>
                  <w:bottom w:val="single" w:sz="8" w:space="0" w:color="000000"/>
                  <w:right w:val="single" w:sz="8" w:space="0" w:color="000000"/>
                </w:tcBorders>
                <w:tcMar>
                  <w:top w:w="0" w:type="dxa"/>
                  <w:left w:w="0" w:type="dxa"/>
                  <w:bottom w:w="0" w:type="dxa"/>
                  <w:right w:w="0" w:type="dxa"/>
                </w:tcMar>
                <w:hideMark/>
              </w:tcPr>
              <w:p w14:paraId="1DFBFE3D" w14:textId="01F29BA2" w:rsidR="002E648B" w:rsidRDefault="00661468">
                <w:pPr>
                  <w:pStyle w:val="TableParagraph"/>
                  <w:spacing w:before="108" w:line="256" w:lineRule="auto"/>
                  <w:ind w:left="110"/>
                  <w:jc w:val="center"/>
                </w:pPr>
                <w:r>
                  <w:rPr>
                    <w:rFonts w:ascii="MS Gothic" w:eastAsia="MS Gothic" w:hAnsi="MS Gothic" w:hint="eastAsia"/>
                    <w:b/>
                    <w:bCs/>
                  </w:rPr>
                  <w:t>☒</w:t>
                </w:r>
              </w:p>
            </w:tc>
          </w:sdtContent>
        </w:sdt>
      </w:tr>
      <w:tr w:rsidR="002E648B" w14:paraId="61E7366B" w14:textId="77777777" w:rsidTr="002E648B">
        <w:trPr>
          <w:trHeight w:val="521"/>
        </w:trPr>
        <w:tc>
          <w:tcPr>
            <w:tcW w:w="5000" w:type="pct"/>
            <w:gridSpan w:val="5"/>
            <w:tcBorders>
              <w:top w:val="nil"/>
              <w:left w:val="nil"/>
              <w:bottom w:val="nil"/>
              <w:right w:val="nil"/>
            </w:tcBorders>
            <w:tcMar>
              <w:top w:w="0" w:type="dxa"/>
              <w:left w:w="0" w:type="dxa"/>
              <w:bottom w:w="0" w:type="dxa"/>
              <w:right w:w="0" w:type="dxa"/>
            </w:tcMar>
            <w:hideMark/>
          </w:tcPr>
          <w:p w14:paraId="49F3EA24" w14:textId="77777777" w:rsidR="002E648B" w:rsidRDefault="002E648B">
            <w:pPr>
              <w:pStyle w:val="TableParagraph"/>
              <w:spacing w:before="108" w:line="256" w:lineRule="auto"/>
              <w:ind w:left="110"/>
              <w:jc w:val="center"/>
            </w:pPr>
            <w:r>
              <w:rPr>
                <w:b/>
                <w:bCs/>
              </w:rPr>
              <w:t> </w:t>
            </w:r>
          </w:p>
          <w:p w14:paraId="2D6A4BB5" w14:textId="77777777" w:rsidR="002E648B" w:rsidRDefault="002E648B">
            <w:pPr>
              <w:pStyle w:val="TableParagraph"/>
              <w:spacing w:before="108" w:line="256" w:lineRule="auto"/>
              <w:ind w:left="110"/>
              <w:jc w:val="center"/>
            </w:pPr>
            <w:r>
              <w:rPr>
                <w:b/>
                <w:bCs/>
              </w:rPr>
              <w:t xml:space="preserve">Complete the </w:t>
            </w:r>
            <w:r>
              <w:rPr>
                <w:b/>
                <w:bCs/>
                <w:u w:val="single"/>
              </w:rPr>
              <w:t>first part</w:t>
            </w:r>
            <w:r>
              <w:rPr>
                <w:b/>
                <w:bCs/>
              </w:rPr>
              <w:t xml:space="preserve"> of the table below and sign the declaration on the next page. Place both at the front of your draft / summative assessment.</w:t>
            </w:r>
          </w:p>
        </w:tc>
      </w:tr>
      <w:tr w:rsidR="002E648B" w14:paraId="1C963564" w14:textId="77777777" w:rsidTr="002E648B">
        <w:trPr>
          <w:trHeight w:val="521"/>
        </w:trPr>
        <w:tc>
          <w:tcPr>
            <w:tcW w:w="5000" w:type="pct"/>
            <w:gridSpan w:val="5"/>
            <w:tcBorders>
              <w:top w:val="nil"/>
              <w:left w:val="nil"/>
              <w:bottom w:val="single" w:sz="8" w:space="0" w:color="000000"/>
              <w:right w:val="nil"/>
            </w:tcBorders>
            <w:tcMar>
              <w:top w:w="0" w:type="dxa"/>
              <w:left w:w="0" w:type="dxa"/>
              <w:bottom w:w="0" w:type="dxa"/>
              <w:right w:w="0" w:type="dxa"/>
            </w:tcMar>
            <w:hideMark/>
          </w:tcPr>
          <w:p w14:paraId="7E1F94A3" w14:textId="77777777" w:rsidR="002E648B" w:rsidRDefault="002E648B">
            <w:pPr>
              <w:pStyle w:val="TableParagraph"/>
              <w:spacing w:before="108" w:line="256" w:lineRule="auto"/>
            </w:pPr>
            <w:r>
              <w:rPr>
                <w:b/>
                <w:bCs/>
              </w:rPr>
              <w:t> </w:t>
            </w:r>
          </w:p>
        </w:tc>
      </w:tr>
      <w:tr w:rsidR="002E648B" w14:paraId="74A64516" w14:textId="77777777" w:rsidTr="002E648B">
        <w:trPr>
          <w:trHeight w:val="521"/>
        </w:trPr>
        <w:tc>
          <w:tcPr>
            <w:tcW w:w="5000" w:type="pct"/>
            <w:gridSpan w:val="5"/>
            <w:tcBorders>
              <w:top w:val="nil"/>
              <w:left w:val="single" w:sz="8" w:space="0" w:color="000000"/>
              <w:bottom w:val="single" w:sz="8" w:space="0" w:color="000000"/>
              <w:right w:val="single" w:sz="8" w:space="0" w:color="000000"/>
            </w:tcBorders>
            <w:shd w:val="clear" w:color="auto" w:fill="EADCF4"/>
            <w:tcMar>
              <w:top w:w="0" w:type="dxa"/>
              <w:left w:w="0" w:type="dxa"/>
              <w:bottom w:w="0" w:type="dxa"/>
              <w:right w:w="0" w:type="dxa"/>
            </w:tcMar>
            <w:hideMark/>
          </w:tcPr>
          <w:p w14:paraId="498B00B0" w14:textId="77777777" w:rsidR="002E648B" w:rsidRDefault="002E648B">
            <w:pPr>
              <w:pStyle w:val="TableParagraph"/>
              <w:spacing w:before="108" w:line="256" w:lineRule="auto"/>
              <w:ind w:left="110"/>
            </w:pPr>
            <w:r>
              <w:rPr>
                <w:b/>
                <w:bCs/>
                <w:color w:val="000000"/>
              </w:rPr>
              <w:t>Please write clearly in block capitals</w:t>
            </w:r>
          </w:p>
        </w:tc>
      </w:tr>
      <w:tr w:rsidR="002E648B" w14:paraId="5F9B02F9" w14:textId="77777777" w:rsidTr="005D6AB5">
        <w:trPr>
          <w:trHeight w:val="519"/>
        </w:trPr>
        <w:tc>
          <w:tcPr>
            <w:tcW w:w="2260" w:type="pct"/>
            <w:gridSpan w:val="2"/>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29B56570" w14:textId="77777777" w:rsidR="002E648B" w:rsidRDefault="002E648B">
            <w:pPr>
              <w:pStyle w:val="TableParagraph"/>
              <w:spacing w:before="108" w:line="256" w:lineRule="auto"/>
              <w:ind w:left="110"/>
            </w:pPr>
            <w:r>
              <w:t>Centre number</w:t>
            </w:r>
          </w:p>
        </w:tc>
        <w:tc>
          <w:tcPr>
            <w:tcW w:w="2740" w:type="pct"/>
            <w:gridSpan w:val="3"/>
            <w:tcBorders>
              <w:top w:val="nil"/>
              <w:left w:val="nil"/>
              <w:bottom w:val="single" w:sz="8" w:space="0" w:color="000000"/>
              <w:right w:val="single" w:sz="8" w:space="0" w:color="000000"/>
            </w:tcBorders>
            <w:shd w:val="clear" w:color="auto" w:fill="E7E6E6"/>
            <w:tcMar>
              <w:top w:w="0" w:type="dxa"/>
              <w:left w:w="0" w:type="dxa"/>
              <w:bottom w:w="0" w:type="dxa"/>
              <w:right w:w="0" w:type="dxa"/>
            </w:tcMar>
            <w:vAlign w:val="center"/>
          </w:tcPr>
          <w:p w14:paraId="2F014AB0" w14:textId="48C3FB87" w:rsidR="002E648B" w:rsidRDefault="002E648B">
            <w:pPr>
              <w:pStyle w:val="TableParagraph"/>
              <w:spacing w:line="256" w:lineRule="auto"/>
              <w:jc w:val="center"/>
            </w:pPr>
          </w:p>
        </w:tc>
      </w:tr>
      <w:tr w:rsidR="002E648B" w14:paraId="57418B5F" w14:textId="77777777" w:rsidTr="005D6AB5">
        <w:trPr>
          <w:trHeight w:val="519"/>
        </w:trPr>
        <w:tc>
          <w:tcPr>
            <w:tcW w:w="2260" w:type="pct"/>
            <w:gridSpan w:val="2"/>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58CDFDC5" w14:textId="77777777" w:rsidR="002E648B" w:rsidRDefault="002E648B">
            <w:pPr>
              <w:pStyle w:val="TableParagraph"/>
              <w:spacing w:before="105" w:line="256" w:lineRule="auto"/>
              <w:ind w:left="110"/>
            </w:pPr>
            <w:r>
              <w:t>Student name</w:t>
            </w:r>
          </w:p>
        </w:tc>
        <w:tc>
          <w:tcPr>
            <w:tcW w:w="2740" w:type="pct"/>
            <w:gridSpan w:val="3"/>
            <w:tcBorders>
              <w:top w:val="nil"/>
              <w:left w:val="nil"/>
              <w:bottom w:val="single" w:sz="8" w:space="0" w:color="000000"/>
              <w:right w:val="single" w:sz="8" w:space="0" w:color="000000"/>
            </w:tcBorders>
            <w:tcMar>
              <w:top w:w="0" w:type="dxa"/>
              <w:left w:w="0" w:type="dxa"/>
              <w:bottom w:w="0" w:type="dxa"/>
              <w:right w:w="0" w:type="dxa"/>
            </w:tcMar>
          </w:tcPr>
          <w:p w14:paraId="718D5D4F" w14:textId="21953E7D" w:rsidR="002E648B" w:rsidRDefault="002E648B">
            <w:pPr>
              <w:pStyle w:val="TableParagraph"/>
              <w:spacing w:line="256" w:lineRule="auto"/>
              <w:jc w:val="center"/>
            </w:pPr>
          </w:p>
        </w:tc>
      </w:tr>
      <w:tr w:rsidR="002E648B" w14:paraId="555F6572" w14:textId="77777777" w:rsidTr="005D6AB5">
        <w:trPr>
          <w:trHeight w:val="521"/>
        </w:trPr>
        <w:tc>
          <w:tcPr>
            <w:tcW w:w="2260" w:type="pct"/>
            <w:gridSpan w:val="2"/>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088C961B" w14:textId="77777777" w:rsidR="002E648B" w:rsidRDefault="002E648B">
            <w:pPr>
              <w:pStyle w:val="TableParagraph"/>
              <w:spacing w:before="108" w:line="256" w:lineRule="auto"/>
              <w:ind w:left="110"/>
            </w:pPr>
            <w:r>
              <w:t>Student ID number</w:t>
            </w:r>
          </w:p>
        </w:tc>
        <w:tc>
          <w:tcPr>
            <w:tcW w:w="2740" w:type="pct"/>
            <w:gridSpan w:val="3"/>
            <w:tcBorders>
              <w:top w:val="nil"/>
              <w:left w:val="nil"/>
              <w:bottom w:val="single" w:sz="8" w:space="0" w:color="000000"/>
              <w:right w:val="single" w:sz="8" w:space="0" w:color="000000"/>
            </w:tcBorders>
            <w:tcMar>
              <w:top w:w="0" w:type="dxa"/>
              <w:left w:w="0" w:type="dxa"/>
              <w:bottom w:w="0" w:type="dxa"/>
              <w:right w:w="0" w:type="dxa"/>
            </w:tcMar>
            <w:vAlign w:val="center"/>
          </w:tcPr>
          <w:p w14:paraId="14672E14" w14:textId="758B1015" w:rsidR="002E648B" w:rsidRDefault="002E648B">
            <w:pPr>
              <w:pStyle w:val="TableParagraph"/>
              <w:spacing w:line="256" w:lineRule="auto"/>
              <w:jc w:val="center"/>
            </w:pPr>
          </w:p>
        </w:tc>
      </w:tr>
      <w:tr w:rsidR="002E648B" w14:paraId="365AEE64" w14:textId="77777777" w:rsidTr="005D6AB5">
        <w:trPr>
          <w:trHeight w:val="521"/>
        </w:trPr>
        <w:tc>
          <w:tcPr>
            <w:tcW w:w="2260" w:type="pct"/>
            <w:gridSpan w:val="2"/>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47C39863" w14:textId="77777777" w:rsidR="002E648B" w:rsidRDefault="002E648B">
            <w:pPr>
              <w:pStyle w:val="TableParagraph"/>
              <w:spacing w:before="108" w:line="256" w:lineRule="auto"/>
              <w:ind w:left="110"/>
            </w:pPr>
            <w:r>
              <w:t>CIPD number</w:t>
            </w:r>
          </w:p>
        </w:tc>
        <w:tc>
          <w:tcPr>
            <w:tcW w:w="2740" w:type="pct"/>
            <w:gridSpan w:val="3"/>
            <w:tcBorders>
              <w:top w:val="nil"/>
              <w:left w:val="nil"/>
              <w:bottom w:val="single" w:sz="8" w:space="0" w:color="000000"/>
              <w:right w:val="single" w:sz="8" w:space="0" w:color="000000"/>
            </w:tcBorders>
            <w:tcMar>
              <w:top w:w="0" w:type="dxa"/>
              <w:left w:w="0" w:type="dxa"/>
              <w:bottom w:w="0" w:type="dxa"/>
              <w:right w:w="0" w:type="dxa"/>
            </w:tcMar>
            <w:vAlign w:val="center"/>
          </w:tcPr>
          <w:p w14:paraId="35B9DCDE" w14:textId="72F4EB30" w:rsidR="002E648B" w:rsidRDefault="002E648B">
            <w:pPr>
              <w:pStyle w:val="TableParagraph"/>
              <w:spacing w:line="256" w:lineRule="auto"/>
              <w:jc w:val="center"/>
            </w:pPr>
          </w:p>
        </w:tc>
      </w:tr>
      <w:tr w:rsidR="002E648B" w14:paraId="32639C01" w14:textId="77777777" w:rsidTr="005D6AB5">
        <w:trPr>
          <w:trHeight w:val="519"/>
        </w:trPr>
        <w:tc>
          <w:tcPr>
            <w:tcW w:w="2260" w:type="pct"/>
            <w:gridSpan w:val="2"/>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59783F94" w14:textId="77777777" w:rsidR="002E648B" w:rsidRDefault="002E648B">
            <w:pPr>
              <w:pStyle w:val="TableParagraph"/>
              <w:spacing w:before="105" w:line="256" w:lineRule="auto"/>
              <w:ind w:left="110"/>
            </w:pPr>
            <w:r>
              <w:t>Unit code</w:t>
            </w:r>
          </w:p>
        </w:tc>
        <w:tc>
          <w:tcPr>
            <w:tcW w:w="2740" w:type="pct"/>
            <w:gridSpan w:val="3"/>
            <w:tcBorders>
              <w:top w:val="nil"/>
              <w:left w:val="nil"/>
              <w:bottom w:val="single" w:sz="8" w:space="0" w:color="000000"/>
              <w:right w:val="single" w:sz="8" w:space="0" w:color="000000"/>
            </w:tcBorders>
            <w:tcMar>
              <w:top w:w="0" w:type="dxa"/>
              <w:left w:w="0" w:type="dxa"/>
              <w:bottom w:w="0" w:type="dxa"/>
              <w:right w:w="0" w:type="dxa"/>
            </w:tcMar>
          </w:tcPr>
          <w:p w14:paraId="752BF504" w14:textId="38EF907E" w:rsidR="002E648B" w:rsidRDefault="002E648B">
            <w:pPr>
              <w:pStyle w:val="TableParagraph"/>
              <w:spacing w:line="256" w:lineRule="auto"/>
              <w:jc w:val="center"/>
            </w:pPr>
          </w:p>
        </w:tc>
      </w:tr>
      <w:tr w:rsidR="002E648B" w14:paraId="5B8554AE" w14:textId="77777777" w:rsidTr="005D6AB5">
        <w:trPr>
          <w:trHeight w:val="461"/>
        </w:trPr>
        <w:tc>
          <w:tcPr>
            <w:tcW w:w="5000" w:type="pct"/>
            <w:gridSpan w:val="5"/>
            <w:tcBorders>
              <w:top w:val="nil"/>
              <w:left w:val="single" w:sz="8" w:space="0" w:color="000000"/>
              <w:bottom w:val="single" w:sz="8" w:space="0" w:color="000000"/>
              <w:right w:val="single" w:sz="8" w:space="0" w:color="000000"/>
            </w:tcBorders>
            <w:shd w:val="clear" w:color="auto" w:fill="EADCF4"/>
            <w:tcMar>
              <w:top w:w="0" w:type="dxa"/>
              <w:left w:w="0" w:type="dxa"/>
              <w:bottom w:w="0" w:type="dxa"/>
              <w:right w:w="0" w:type="dxa"/>
            </w:tcMar>
            <w:vAlign w:val="center"/>
          </w:tcPr>
          <w:p w14:paraId="3264AE74" w14:textId="5986F595" w:rsidR="002E648B" w:rsidRDefault="002E648B">
            <w:pPr>
              <w:pStyle w:val="TableParagraph"/>
              <w:spacing w:line="256" w:lineRule="auto"/>
            </w:pPr>
          </w:p>
        </w:tc>
      </w:tr>
      <w:tr w:rsidR="002E648B" w14:paraId="0D270E39" w14:textId="77777777" w:rsidTr="005D6AB5">
        <w:trPr>
          <w:trHeight w:val="533"/>
        </w:trPr>
        <w:tc>
          <w:tcPr>
            <w:tcW w:w="2260" w:type="pct"/>
            <w:gridSpan w:val="2"/>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0E8E6C" w14:textId="77777777" w:rsidR="002E648B" w:rsidRDefault="002E648B">
            <w:pPr>
              <w:pStyle w:val="TableParagraph"/>
              <w:spacing w:before="88" w:line="270" w:lineRule="atLeast"/>
              <w:ind w:left="110" w:right="175"/>
            </w:pPr>
            <w:r>
              <w:t>Word count</w:t>
            </w:r>
          </w:p>
        </w:tc>
        <w:tc>
          <w:tcPr>
            <w:tcW w:w="2740" w:type="pct"/>
            <w:gridSpan w:val="3"/>
            <w:tcBorders>
              <w:top w:val="nil"/>
              <w:left w:val="nil"/>
              <w:bottom w:val="single" w:sz="8" w:space="0" w:color="000000"/>
              <w:right w:val="single" w:sz="8" w:space="0" w:color="000000"/>
            </w:tcBorders>
            <w:tcMar>
              <w:top w:w="0" w:type="dxa"/>
              <w:left w:w="0" w:type="dxa"/>
              <w:bottom w:w="0" w:type="dxa"/>
              <w:right w:w="0" w:type="dxa"/>
            </w:tcMar>
            <w:vAlign w:val="center"/>
          </w:tcPr>
          <w:p w14:paraId="3A7A9EB3" w14:textId="29883DBB" w:rsidR="002E648B" w:rsidRDefault="002E648B">
            <w:pPr>
              <w:pStyle w:val="TableParagraph"/>
              <w:spacing w:line="256" w:lineRule="auto"/>
              <w:jc w:val="center"/>
            </w:pPr>
          </w:p>
        </w:tc>
      </w:tr>
      <w:tr w:rsidR="002E648B" w14:paraId="472C9D5D" w14:textId="77777777" w:rsidTr="005D6AB5">
        <w:trPr>
          <w:trHeight w:val="461"/>
        </w:trPr>
        <w:tc>
          <w:tcPr>
            <w:tcW w:w="2260" w:type="pct"/>
            <w:gridSpan w:val="2"/>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E596857" w14:textId="77777777" w:rsidR="002E648B" w:rsidRDefault="002E648B">
            <w:pPr>
              <w:pStyle w:val="TableParagraph"/>
              <w:spacing w:before="108" w:line="256" w:lineRule="auto"/>
              <w:ind w:left="110"/>
            </w:pPr>
            <w:r>
              <w:t>Assessment submission date</w:t>
            </w:r>
          </w:p>
        </w:tc>
        <w:tc>
          <w:tcPr>
            <w:tcW w:w="2740" w:type="pct"/>
            <w:gridSpan w:val="3"/>
            <w:tcBorders>
              <w:top w:val="nil"/>
              <w:left w:val="nil"/>
              <w:bottom w:val="single" w:sz="8" w:space="0" w:color="000000"/>
              <w:right w:val="single" w:sz="8" w:space="0" w:color="000000"/>
            </w:tcBorders>
            <w:tcMar>
              <w:top w:w="0" w:type="dxa"/>
              <w:left w:w="0" w:type="dxa"/>
              <w:bottom w:w="0" w:type="dxa"/>
              <w:right w:w="0" w:type="dxa"/>
            </w:tcMar>
            <w:vAlign w:val="center"/>
          </w:tcPr>
          <w:p w14:paraId="37049DF5" w14:textId="6AB4F849" w:rsidR="002E648B" w:rsidRDefault="002E648B">
            <w:pPr>
              <w:pStyle w:val="TableParagraph"/>
              <w:spacing w:line="256" w:lineRule="auto"/>
              <w:jc w:val="center"/>
            </w:pPr>
          </w:p>
        </w:tc>
      </w:tr>
      <w:tr w:rsidR="002E648B" w14:paraId="64834054" w14:textId="77777777" w:rsidTr="005D6AB5">
        <w:trPr>
          <w:trHeight w:val="461"/>
        </w:trPr>
        <w:tc>
          <w:tcPr>
            <w:tcW w:w="5000" w:type="pct"/>
            <w:gridSpan w:val="5"/>
            <w:tcBorders>
              <w:top w:val="nil"/>
              <w:left w:val="single" w:sz="8" w:space="0" w:color="000000"/>
              <w:bottom w:val="single" w:sz="8" w:space="0" w:color="000000"/>
              <w:right w:val="single" w:sz="8" w:space="0" w:color="000000"/>
            </w:tcBorders>
            <w:shd w:val="clear" w:color="auto" w:fill="EADCF4"/>
            <w:tcMar>
              <w:top w:w="0" w:type="dxa"/>
              <w:left w:w="0" w:type="dxa"/>
              <w:bottom w:w="0" w:type="dxa"/>
              <w:right w:w="0" w:type="dxa"/>
            </w:tcMar>
            <w:vAlign w:val="center"/>
          </w:tcPr>
          <w:p w14:paraId="159DDF11" w14:textId="3BA6020E" w:rsidR="002E648B" w:rsidRDefault="002E648B">
            <w:pPr>
              <w:pStyle w:val="TableParagraph"/>
              <w:spacing w:line="256" w:lineRule="auto"/>
            </w:pPr>
          </w:p>
        </w:tc>
      </w:tr>
      <w:tr w:rsidR="002E648B" w14:paraId="36374A94" w14:textId="77777777" w:rsidTr="005D6AB5">
        <w:trPr>
          <w:trHeight w:val="533"/>
        </w:trPr>
        <w:tc>
          <w:tcPr>
            <w:tcW w:w="2260" w:type="pct"/>
            <w:gridSpan w:val="2"/>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A47B65A" w14:textId="77777777" w:rsidR="002E648B" w:rsidRDefault="002E648B">
            <w:pPr>
              <w:pStyle w:val="TableParagraph"/>
              <w:spacing w:before="88" w:line="270" w:lineRule="atLeast"/>
              <w:ind w:left="110" w:right="175"/>
            </w:pPr>
            <w:r>
              <w:t>Word count</w:t>
            </w:r>
          </w:p>
        </w:tc>
        <w:tc>
          <w:tcPr>
            <w:tcW w:w="2740" w:type="pct"/>
            <w:gridSpan w:val="3"/>
            <w:tcBorders>
              <w:top w:val="nil"/>
              <w:left w:val="nil"/>
              <w:bottom w:val="single" w:sz="8" w:space="0" w:color="000000"/>
              <w:right w:val="single" w:sz="8" w:space="0" w:color="000000"/>
            </w:tcBorders>
            <w:tcMar>
              <w:top w:w="0" w:type="dxa"/>
              <w:left w:w="0" w:type="dxa"/>
              <w:bottom w:w="0" w:type="dxa"/>
              <w:right w:w="0" w:type="dxa"/>
            </w:tcMar>
            <w:vAlign w:val="center"/>
          </w:tcPr>
          <w:p w14:paraId="4C2B5A62" w14:textId="6AA99E63" w:rsidR="002E648B" w:rsidRDefault="002E648B">
            <w:pPr>
              <w:pStyle w:val="TableParagraph"/>
              <w:spacing w:line="256" w:lineRule="auto"/>
              <w:jc w:val="center"/>
            </w:pPr>
          </w:p>
        </w:tc>
      </w:tr>
      <w:tr w:rsidR="002E648B" w14:paraId="700BF5C4" w14:textId="77777777" w:rsidTr="005D6AB5">
        <w:trPr>
          <w:trHeight w:val="461"/>
        </w:trPr>
        <w:tc>
          <w:tcPr>
            <w:tcW w:w="2260" w:type="pct"/>
            <w:gridSpan w:val="2"/>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34D59A" w14:textId="77777777" w:rsidR="002E648B" w:rsidRDefault="002E648B">
            <w:pPr>
              <w:pStyle w:val="TableParagraph"/>
              <w:spacing w:before="108" w:line="256" w:lineRule="auto"/>
              <w:ind w:left="110"/>
            </w:pPr>
            <w:r>
              <w:t>Assessment submission date</w:t>
            </w:r>
          </w:p>
        </w:tc>
        <w:tc>
          <w:tcPr>
            <w:tcW w:w="2740" w:type="pct"/>
            <w:gridSpan w:val="3"/>
            <w:tcBorders>
              <w:top w:val="nil"/>
              <w:left w:val="nil"/>
              <w:bottom w:val="single" w:sz="8" w:space="0" w:color="000000"/>
              <w:right w:val="single" w:sz="8" w:space="0" w:color="000000"/>
            </w:tcBorders>
            <w:tcMar>
              <w:top w:w="0" w:type="dxa"/>
              <w:left w:w="0" w:type="dxa"/>
              <w:bottom w:w="0" w:type="dxa"/>
              <w:right w:w="0" w:type="dxa"/>
            </w:tcMar>
            <w:vAlign w:val="center"/>
          </w:tcPr>
          <w:p w14:paraId="3FF33383" w14:textId="082E2ADD" w:rsidR="002E648B" w:rsidRDefault="002E648B">
            <w:pPr>
              <w:pStyle w:val="TableParagraph"/>
              <w:spacing w:line="256" w:lineRule="auto"/>
              <w:jc w:val="center"/>
            </w:pPr>
          </w:p>
        </w:tc>
      </w:tr>
      <w:tr w:rsidR="002E648B" w14:paraId="5A163C04" w14:textId="77777777" w:rsidTr="002E648B">
        <w:trPr>
          <w:trHeight w:val="461"/>
        </w:trPr>
        <w:tc>
          <w:tcPr>
            <w:tcW w:w="5000" w:type="pct"/>
            <w:gridSpan w:val="5"/>
            <w:tcBorders>
              <w:top w:val="nil"/>
              <w:left w:val="single" w:sz="8" w:space="0" w:color="000000"/>
              <w:bottom w:val="single" w:sz="8" w:space="0" w:color="000000"/>
              <w:right w:val="single" w:sz="8" w:space="0" w:color="000000"/>
            </w:tcBorders>
            <w:shd w:val="clear" w:color="auto" w:fill="EADCF4"/>
            <w:tcMar>
              <w:top w:w="0" w:type="dxa"/>
              <w:left w:w="0" w:type="dxa"/>
              <w:bottom w:w="0" w:type="dxa"/>
              <w:right w:w="0" w:type="dxa"/>
            </w:tcMar>
            <w:vAlign w:val="center"/>
            <w:hideMark/>
          </w:tcPr>
          <w:p w14:paraId="15E0547F" w14:textId="77777777" w:rsidR="002E648B" w:rsidRDefault="002E648B">
            <w:pPr>
              <w:pStyle w:val="TableParagraph"/>
              <w:spacing w:line="256" w:lineRule="auto"/>
            </w:pPr>
            <w:r>
              <w:rPr>
                <w:b/>
                <w:bCs/>
                <w:color w:val="000000"/>
              </w:rPr>
              <w:t>Assessment Submission (3</w:t>
            </w:r>
            <w:r>
              <w:rPr>
                <w:b/>
                <w:bCs/>
                <w:color w:val="000000"/>
                <w:vertAlign w:val="superscript"/>
              </w:rPr>
              <w:t>rd</w:t>
            </w:r>
            <w:r>
              <w:rPr>
                <w:b/>
                <w:bCs/>
                <w:color w:val="000000"/>
              </w:rPr>
              <w:t xml:space="preserve"> Attempt)</w:t>
            </w:r>
          </w:p>
        </w:tc>
      </w:tr>
      <w:tr w:rsidR="002E648B" w14:paraId="266717F0" w14:textId="77777777" w:rsidTr="002E648B">
        <w:trPr>
          <w:trHeight w:val="533"/>
        </w:trPr>
        <w:tc>
          <w:tcPr>
            <w:tcW w:w="2260" w:type="pct"/>
            <w:gridSpan w:val="2"/>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0941EB" w14:textId="77777777" w:rsidR="002E648B" w:rsidRDefault="002E648B">
            <w:pPr>
              <w:pStyle w:val="TableParagraph"/>
              <w:spacing w:before="88" w:line="270" w:lineRule="atLeast"/>
              <w:ind w:left="110" w:right="175"/>
            </w:pPr>
            <w:r>
              <w:t>Word count</w:t>
            </w:r>
          </w:p>
        </w:tc>
        <w:tc>
          <w:tcPr>
            <w:tcW w:w="2740" w:type="pct"/>
            <w:gridSpan w:val="3"/>
            <w:tcBorders>
              <w:top w:val="nil"/>
              <w:left w:val="nil"/>
              <w:bottom w:val="single" w:sz="8" w:space="0" w:color="000000"/>
              <w:right w:val="single" w:sz="8" w:space="0" w:color="000000"/>
            </w:tcBorders>
            <w:tcMar>
              <w:top w:w="0" w:type="dxa"/>
              <w:left w:w="0" w:type="dxa"/>
              <w:bottom w:w="0" w:type="dxa"/>
              <w:right w:w="0" w:type="dxa"/>
            </w:tcMar>
            <w:vAlign w:val="center"/>
            <w:hideMark/>
          </w:tcPr>
          <w:p w14:paraId="58328D64" w14:textId="77777777" w:rsidR="002E648B" w:rsidRDefault="002E648B">
            <w:pPr>
              <w:pStyle w:val="TableParagraph"/>
              <w:spacing w:line="256" w:lineRule="auto"/>
              <w:jc w:val="center"/>
            </w:pPr>
            <w:r>
              <w:t> </w:t>
            </w:r>
          </w:p>
        </w:tc>
      </w:tr>
      <w:tr w:rsidR="002E648B" w14:paraId="205BC72A" w14:textId="77777777" w:rsidTr="002E648B">
        <w:trPr>
          <w:trHeight w:val="605"/>
        </w:trPr>
        <w:tc>
          <w:tcPr>
            <w:tcW w:w="2260" w:type="pct"/>
            <w:gridSpan w:val="2"/>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0E0729" w14:textId="77777777" w:rsidR="002E648B" w:rsidRDefault="002E648B">
            <w:pPr>
              <w:pStyle w:val="TableParagraph"/>
              <w:spacing w:before="108" w:line="256" w:lineRule="auto"/>
              <w:ind w:left="110"/>
            </w:pPr>
            <w:r>
              <w:t>Assessment submission date</w:t>
            </w:r>
          </w:p>
        </w:tc>
        <w:tc>
          <w:tcPr>
            <w:tcW w:w="2740" w:type="pct"/>
            <w:gridSpan w:val="3"/>
            <w:tcBorders>
              <w:top w:val="nil"/>
              <w:left w:val="nil"/>
              <w:bottom w:val="single" w:sz="8" w:space="0" w:color="000000"/>
              <w:right w:val="single" w:sz="8" w:space="0" w:color="000000"/>
            </w:tcBorders>
            <w:tcMar>
              <w:top w:w="0" w:type="dxa"/>
              <w:left w:w="0" w:type="dxa"/>
              <w:bottom w:w="0" w:type="dxa"/>
              <w:right w:w="0" w:type="dxa"/>
            </w:tcMar>
            <w:vAlign w:val="center"/>
            <w:hideMark/>
          </w:tcPr>
          <w:p w14:paraId="213599D8" w14:textId="77777777" w:rsidR="002E648B" w:rsidRDefault="002E648B">
            <w:pPr>
              <w:pStyle w:val="TableParagraph"/>
              <w:spacing w:line="256" w:lineRule="auto"/>
              <w:jc w:val="center"/>
            </w:pPr>
            <w:r>
              <w:t> </w:t>
            </w:r>
          </w:p>
        </w:tc>
      </w:tr>
      <w:tr w:rsidR="002E648B" w14:paraId="0E927264" w14:textId="77777777" w:rsidTr="002E648B">
        <w:tc>
          <w:tcPr>
            <w:tcW w:w="1200" w:type="dxa"/>
            <w:tcBorders>
              <w:top w:val="nil"/>
              <w:left w:val="nil"/>
              <w:bottom w:val="nil"/>
              <w:right w:val="nil"/>
            </w:tcBorders>
            <w:vAlign w:val="center"/>
            <w:hideMark/>
          </w:tcPr>
          <w:p w14:paraId="7BF46BF9" w14:textId="77777777" w:rsidR="002E648B" w:rsidRDefault="002E648B"/>
        </w:tc>
        <w:tc>
          <w:tcPr>
            <w:tcW w:w="975" w:type="dxa"/>
            <w:tcBorders>
              <w:top w:val="nil"/>
              <w:left w:val="nil"/>
              <w:bottom w:val="nil"/>
              <w:right w:val="nil"/>
            </w:tcBorders>
            <w:vAlign w:val="center"/>
            <w:hideMark/>
          </w:tcPr>
          <w:p w14:paraId="6ADF27DD" w14:textId="77777777" w:rsidR="002E648B" w:rsidRDefault="002E648B">
            <w:pPr>
              <w:spacing w:after="0"/>
              <w:rPr>
                <w:sz w:val="20"/>
                <w:szCs w:val="20"/>
              </w:rPr>
            </w:pPr>
          </w:p>
        </w:tc>
        <w:tc>
          <w:tcPr>
            <w:tcW w:w="285" w:type="dxa"/>
            <w:tcBorders>
              <w:top w:val="nil"/>
              <w:left w:val="nil"/>
              <w:bottom w:val="nil"/>
              <w:right w:val="nil"/>
            </w:tcBorders>
            <w:vAlign w:val="center"/>
            <w:hideMark/>
          </w:tcPr>
          <w:p w14:paraId="0E094598" w14:textId="77777777" w:rsidR="002E648B" w:rsidRDefault="002E648B">
            <w:pPr>
              <w:spacing w:after="0"/>
              <w:rPr>
                <w:sz w:val="20"/>
                <w:szCs w:val="20"/>
              </w:rPr>
            </w:pPr>
          </w:p>
        </w:tc>
        <w:tc>
          <w:tcPr>
            <w:tcW w:w="1215" w:type="dxa"/>
            <w:tcBorders>
              <w:top w:val="nil"/>
              <w:left w:val="nil"/>
              <w:bottom w:val="nil"/>
              <w:right w:val="nil"/>
            </w:tcBorders>
            <w:vAlign w:val="center"/>
            <w:hideMark/>
          </w:tcPr>
          <w:p w14:paraId="14BF98E3" w14:textId="77777777" w:rsidR="002E648B" w:rsidRDefault="002E648B">
            <w:pPr>
              <w:spacing w:after="0"/>
              <w:rPr>
                <w:sz w:val="20"/>
                <w:szCs w:val="20"/>
              </w:rPr>
            </w:pPr>
          </w:p>
        </w:tc>
        <w:tc>
          <w:tcPr>
            <w:tcW w:w="1200" w:type="dxa"/>
            <w:tcBorders>
              <w:top w:val="nil"/>
              <w:left w:val="nil"/>
              <w:bottom w:val="nil"/>
              <w:right w:val="nil"/>
            </w:tcBorders>
            <w:vAlign w:val="center"/>
            <w:hideMark/>
          </w:tcPr>
          <w:p w14:paraId="1558E694" w14:textId="77777777" w:rsidR="002E648B" w:rsidRDefault="002E648B">
            <w:pPr>
              <w:spacing w:after="0"/>
              <w:rPr>
                <w:sz w:val="20"/>
                <w:szCs w:val="20"/>
              </w:rPr>
            </w:pPr>
          </w:p>
        </w:tc>
      </w:tr>
    </w:tbl>
    <w:p w14:paraId="233B29C4" w14:textId="77777777" w:rsidR="002E648B" w:rsidRDefault="002E648B" w:rsidP="002E648B">
      <w:pPr>
        <w:jc w:val="center"/>
        <w:rPr>
          <w:lang w:val="en-GB"/>
        </w:rPr>
      </w:pPr>
      <w:r>
        <w:t> </w:t>
      </w:r>
    </w:p>
    <w:p w14:paraId="2FBE09F6" w14:textId="77777777" w:rsidR="002E648B" w:rsidRDefault="002E648B" w:rsidP="002E648B">
      <w:r>
        <w:t> </w:t>
      </w:r>
    </w:p>
    <w:p w14:paraId="28910054" w14:textId="77777777" w:rsidR="002E648B" w:rsidRDefault="002E648B" w:rsidP="002E648B">
      <w:r>
        <w:t> </w:t>
      </w:r>
    </w:p>
    <w:p w14:paraId="5DC667D0" w14:textId="77777777" w:rsidR="002E648B" w:rsidRDefault="002E648B" w:rsidP="002E648B">
      <w:r>
        <w:t> </w:t>
      </w:r>
    </w:p>
    <w:p w14:paraId="1F89737A" w14:textId="77777777" w:rsidR="002E648B" w:rsidRDefault="002E648B" w:rsidP="002E648B">
      <w:r>
        <w:t> </w:t>
      </w:r>
    </w:p>
    <w:p w14:paraId="771FCBC9" w14:textId="77777777" w:rsidR="002E648B" w:rsidRDefault="002E648B" w:rsidP="002E648B">
      <w:r>
        <w:lastRenderedPageBreak/>
        <w:t> </w:t>
      </w:r>
    </w:p>
    <w:p w14:paraId="19D9CE44" w14:textId="77777777" w:rsidR="002E648B" w:rsidRDefault="002E648B" w:rsidP="002E648B">
      <w:r>
        <w:t> </w:t>
      </w:r>
    </w:p>
    <w:tbl>
      <w:tblPr>
        <w:tblW w:w="5035" w:type="pct"/>
        <w:tblLook w:val="04A0" w:firstRow="1" w:lastRow="0" w:firstColumn="1" w:lastColumn="0" w:noHBand="0" w:noVBand="1"/>
      </w:tblPr>
      <w:tblGrid>
        <w:gridCol w:w="4253"/>
        <w:gridCol w:w="5152"/>
      </w:tblGrid>
      <w:tr w:rsidR="002E648B" w14:paraId="23EAC1A9" w14:textId="77777777" w:rsidTr="002E648B">
        <w:trPr>
          <w:trHeight w:val="503"/>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EADCF4"/>
            <w:tcMar>
              <w:top w:w="0" w:type="dxa"/>
              <w:left w:w="0" w:type="dxa"/>
              <w:bottom w:w="0" w:type="dxa"/>
              <w:right w:w="0" w:type="dxa"/>
            </w:tcMar>
            <w:hideMark/>
          </w:tcPr>
          <w:p w14:paraId="53CABE13" w14:textId="77777777" w:rsidR="002E648B" w:rsidRDefault="002E648B">
            <w:pPr>
              <w:pStyle w:val="TableParagraph"/>
              <w:spacing w:before="108" w:line="256" w:lineRule="auto"/>
              <w:ind w:left="110"/>
            </w:pPr>
            <w:r>
              <w:rPr>
                <w:b/>
                <w:bCs/>
                <w:color w:val="000000"/>
              </w:rPr>
              <w:t>Declaration By Learner (student to complete):</w:t>
            </w:r>
          </w:p>
        </w:tc>
      </w:tr>
      <w:tr w:rsidR="002E648B" w14:paraId="3ECDBE5D" w14:textId="77777777" w:rsidTr="002E648B">
        <w:trPr>
          <w:trHeight w:val="923"/>
        </w:trPr>
        <w:tc>
          <w:tcPr>
            <w:tcW w:w="5000" w:type="pct"/>
            <w:gridSpan w:val="2"/>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0014334F" w14:textId="77777777" w:rsidR="002E648B" w:rsidRDefault="002E648B">
            <w:pPr>
              <w:pStyle w:val="TableParagraph"/>
              <w:spacing w:line="256" w:lineRule="auto"/>
            </w:pPr>
            <w:r>
              <w:rPr>
                <w:b/>
                <w:bCs/>
              </w:rPr>
              <w:t> </w:t>
            </w:r>
          </w:p>
          <w:p w14:paraId="2201190B" w14:textId="77777777" w:rsidR="002E648B" w:rsidRDefault="002E648B">
            <w:pPr>
              <w:pStyle w:val="TableParagraph"/>
              <w:spacing w:line="256" w:lineRule="auto"/>
            </w:pPr>
            <w:r>
              <w:rPr>
                <w:b/>
                <w:bCs/>
              </w:rPr>
              <w:t>I can confirm that this assessment is all my own work and where I have used materials from other sources, they have been properly acknowledged.</w:t>
            </w:r>
          </w:p>
          <w:p w14:paraId="1F2A8F72" w14:textId="77777777" w:rsidR="002E648B" w:rsidRDefault="002E648B">
            <w:pPr>
              <w:pStyle w:val="TableParagraph"/>
              <w:spacing w:line="256" w:lineRule="auto"/>
            </w:pPr>
            <w:r>
              <w:rPr>
                <w:b/>
                <w:bCs/>
              </w:rPr>
              <w:t> </w:t>
            </w:r>
          </w:p>
        </w:tc>
      </w:tr>
      <w:tr w:rsidR="002E648B" w14:paraId="44BE5DE5" w14:textId="77777777" w:rsidTr="002E648B">
        <w:trPr>
          <w:trHeight w:val="579"/>
        </w:trPr>
        <w:tc>
          <w:tcPr>
            <w:tcW w:w="2261" w:type="pct"/>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760CC73B" w14:textId="77777777" w:rsidR="002E648B" w:rsidRDefault="002E648B">
            <w:pPr>
              <w:pStyle w:val="TableParagraph"/>
              <w:spacing w:line="256" w:lineRule="auto"/>
            </w:pPr>
            <w:r>
              <w:t>Student Name</w:t>
            </w:r>
          </w:p>
        </w:tc>
        <w:tc>
          <w:tcPr>
            <w:tcW w:w="2739" w:type="pct"/>
            <w:tcBorders>
              <w:top w:val="nil"/>
              <w:left w:val="nil"/>
              <w:bottom w:val="single" w:sz="8" w:space="0" w:color="000000"/>
              <w:right w:val="single" w:sz="8" w:space="0" w:color="000000"/>
            </w:tcBorders>
            <w:tcMar>
              <w:top w:w="0" w:type="dxa"/>
              <w:left w:w="0" w:type="dxa"/>
              <w:bottom w:w="0" w:type="dxa"/>
              <w:right w:w="0" w:type="dxa"/>
            </w:tcMar>
            <w:hideMark/>
          </w:tcPr>
          <w:p w14:paraId="63440D48" w14:textId="6E2F0D2A" w:rsidR="002E648B" w:rsidRDefault="002E648B">
            <w:pPr>
              <w:pStyle w:val="TableParagraph"/>
              <w:spacing w:line="256" w:lineRule="auto"/>
            </w:pPr>
            <w:r>
              <w:rPr>
                <w:noProof/>
              </w:rPr>
              <w:drawing>
                <wp:inline distT="0" distB="0" distL="0" distR="0" wp14:anchorId="0AFF1FBB" wp14:editId="2F6DD47F">
                  <wp:extent cx="85725" cy="85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b/>
                <w:bCs/>
              </w:rPr>
              <w:t> </w:t>
            </w:r>
          </w:p>
        </w:tc>
      </w:tr>
      <w:tr w:rsidR="002E648B" w14:paraId="284D0704" w14:textId="77777777" w:rsidTr="002E648B">
        <w:trPr>
          <w:trHeight w:val="559"/>
        </w:trPr>
        <w:tc>
          <w:tcPr>
            <w:tcW w:w="2261" w:type="pct"/>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5624F2C1" w14:textId="77777777" w:rsidR="002E648B" w:rsidRDefault="002E648B">
            <w:pPr>
              <w:pStyle w:val="TableParagraph"/>
              <w:spacing w:line="256" w:lineRule="auto"/>
            </w:pPr>
            <w:r>
              <w:t>Student Signature</w:t>
            </w:r>
          </w:p>
        </w:tc>
        <w:tc>
          <w:tcPr>
            <w:tcW w:w="2739" w:type="pct"/>
            <w:tcBorders>
              <w:top w:val="nil"/>
              <w:left w:val="nil"/>
              <w:bottom w:val="single" w:sz="8" w:space="0" w:color="000000"/>
              <w:right w:val="single" w:sz="8" w:space="0" w:color="000000"/>
            </w:tcBorders>
            <w:tcMar>
              <w:top w:w="0" w:type="dxa"/>
              <w:left w:w="0" w:type="dxa"/>
              <w:bottom w:w="0" w:type="dxa"/>
              <w:right w:w="0" w:type="dxa"/>
            </w:tcMar>
            <w:hideMark/>
          </w:tcPr>
          <w:p w14:paraId="6281CAC6" w14:textId="1E18FCE5" w:rsidR="002E648B" w:rsidRDefault="002E648B">
            <w:pPr>
              <w:pStyle w:val="TableParagraph"/>
              <w:spacing w:line="256" w:lineRule="auto"/>
            </w:pPr>
            <w:r>
              <w:rPr>
                <w:noProof/>
              </w:rPr>
              <w:t xml:space="preserve">                       </w:t>
            </w:r>
          </w:p>
        </w:tc>
      </w:tr>
      <w:tr w:rsidR="002E648B" w14:paraId="177C9A67" w14:textId="77777777" w:rsidTr="002E648B">
        <w:trPr>
          <w:trHeight w:val="553"/>
        </w:trPr>
        <w:tc>
          <w:tcPr>
            <w:tcW w:w="2261" w:type="pct"/>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2E12EC50" w14:textId="77777777" w:rsidR="002E648B" w:rsidRDefault="002E648B">
            <w:pPr>
              <w:pStyle w:val="TableParagraph"/>
              <w:spacing w:line="256" w:lineRule="auto"/>
            </w:pPr>
            <w:r>
              <w:t>Date</w:t>
            </w:r>
          </w:p>
        </w:tc>
        <w:tc>
          <w:tcPr>
            <w:tcW w:w="2739" w:type="pct"/>
            <w:tcBorders>
              <w:top w:val="nil"/>
              <w:left w:val="nil"/>
              <w:bottom w:val="single" w:sz="8" w:space="0" w:color="000000"/>
              <w:right w:val="single" w:sz="8" w:space="0" w:color="000000"/>
            </w:tcBorders>
            <w:tcMar>
              <w:top w:w="0" w:type="dxa"/>
              <w:left w:w="0" w:type="dxa"/>
              <w:bottom w:w="0" w:type="dxa"/>
              <w:right w:w="0" w:type="dxa"/>
            </w:tcMar>
            <w:hideMark/>
          </w:tcPr>
          <w:p w14:paraId="270073F5" w14:textId="77777777" w:rsidR="002E648B" w:rsidRDefault="002E648B">
            <w:pPr>
              <w:pStyle w:val="TableParagraph"/>
              <w:spacing w:line="256" w:lineRule="auto"/>
            </w:pPr>
            <w:r>
              <w:rPr>
                <w:b/>
                <w:bCs/>
              </w:rPr>
              <w:t> </w:t>
            </w:r>
          </w:p>
          <w:p w14:paraId="576D4F00" w14:textId="77777777" w:rsidR="002E648B" w:rsidRDefault="002E648B">
            <w:pPr>
              <w:pStyle w:val="TableParagraph"/>
              <w:spacing w:line="256" w:lineRule="auto"/>
            </w:pPr>
            <w:r>
              <w:rPr>
                <w:b/>
                <w:bCs/>
              </w:rPr>
              <w:t> </w:t>
            </w:r>
          </w:p>
        </w:tc>
      </w:tr>
    </w:tbl>
    <w:p w14:paraId="223C2E5F" w14:textId="77777777" w:rsidR="002E648B" w:rsidRDefault="002E648B" w:rsidP="002E648B">
      <w:pPr>
        <w:rPr>
          <w:lang w:val="en-GB"/>
        </w:rPr>
      </w:pPr>
      <w:r>
        <w:t> </w:t>
      </w:r>
    </w:p>
    <w:tbl>
      <w:tblPr>
        <w:tblW w:w="5035" w:type="pct"/>
        <w:tblLook w:val="04A0" w:firstRow="1" w:lastRow="0" w:firstColumn="1" w:lastColumn="0" w:noHBand="0" w:noVBand="1"/>
      </w:tblPr>
      <w:tblGrid>
        <w:gridCol w:w="4253"/>
        <w:gridCol w:w="5152"/>
      </w:tblGrid>
      <w:tr w:rsidR="002E648B" w14:paraId="17CDA881" w14:textId="77777777" w:rsidTr="002E648B">
        <w:trPr>
          <w:trHeight w:val="503"/>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EADCF4"/>
            <w:tcMar>
              <w:top w:w="0" w:type="dxa"/>
              <w:left w:w="0" w:type="dxa"/>
              <w:bottom w:w="0" w:type="dxa"/>
              <w:right w:w="0" w:type="dxa"/>
            </w:tcMar>
            <w:hideMark/>
          </w:tcPr>
          <w:p w14:paraId="79CBBAE4" w14:textId="77777777" w:rsidR="002E648B" w:rsidRDefault="002E648B">
            <w:pPr>
              <w:pStyle w:val="TableParagraph"/>
              <w:spacing w:before="108" w:line="256" w:lineRule="auto"/>
              <w:ind w:left="110"/>
            </w:pPr>
            <w:r>
              <w:rPr>
                <w:b/>
                <w:bCs/>
                <w:color w:val="000000"/>
              </w:rPr>
              <w:t>Declaration By Assessor (marker to complete):</w:t>
            </w:r>
          </w:p>
        </w:tc>
      </w:tr>
      <w:tr w:rsidR="002E648B" w14:paraId="3B73D249" w14:textId="77777777" w:rsidTr="002E648B">
        <w:trPr>
          <w:trHeight w:val="923"/>
        </w:trPr>
        <w:tc>
          <w:tcPr>
            <w:tcW w:w="5000" w:type="pct"/>
            <w:gridSpan w:val="2"/>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47C61117" w14:textId="77777777" w:rsidR="002E648B" w:rsidRDefault="002E648B">
            <w:pPr>
              <w:pStyle w:val="TableParagraph"/>
              <w:spacing w:line="256" w:lineRule="auto"/>
            </w:pPr>
            <w:r>
              <w:rPr>
                <w:b/>
                <w:bCs/>
              </w:rPr>
              <w:t> </w:t>
            </w:r>
          </w:p>
          <w:p w14:paraId="148A69FD" w14:textId="77777777" w:rsidR="002E648B" w:rsidRDefault="002E648B">
            <w:pPr>
              <w:pStyle w:val="TableParagraph"/>
              <w:spacing w:line="256" w:lineRule="auto"/>
            </w:pPr>
            <w:r>
              <w:rPr>
                <w:b/>
                <w:bCs/>
              </w:rPr>
              <w:t>I confirm that:</w:t>
            </w:r>
          </w:p>
          <w:p w14:paraId="1D10BF17" w14:textId="77777777" w:rsidR="002E648B" w:rsidRDefault="002E648B">
            <w:pPr>
              <w:pStyle w:val="TableParagraph"/>
              <w:spacing w:line="256" w:lineRule="auto"/>
            </w:pPr>
            <w:r>
              <w:rPr>
                <w:b/>
                <w:bCs/>
              </w:rPr>
              <w:t> </w:t>
            </w:r>
          </w:p>
          <w:p w14:paraId="267FA754" w14:textId="77777777" w:rsidR="002E648B" w:rsidRDefault="002E648B">
            <w:pPr>
              <w:pStyle w:val="TableParagraph"/>
              <w:spacing w:line="256" w:lineRule="auto"/>
              <w:ind w:left="720" w:hanging="360"/>
            </w:pPr>
            <w:r>
              <w:rPr>
                <w:rFonts w:ascii="Symbol" w:hAnsi="Symbol"/>
              </w:rPr>
              <w:t>·</w:t>
            </w:r>
            <w:r>
              <w:rPr>
                <w:rFonts w:ascii="Times New Roman" w:hAnsi="Times New Roman" w:cs="Times New Roman"/>
                <w:sz w:val="14"/>
                <w:szCs w:val="14"/>
              </w:rPr>
              <w:t xml:space="preserve">       </w:t>
            </w:r>
            <w:r>
              <w:rPr>
                <w:b/>
                <w:bCs/>
              </w:rPr>
              <w:t>The learner’s work was conducted under the conditions laid out by the assessment brief.</w:t>
            </w:r>
          </w:p>
          <w:p w14:paraId="0A43106B" w14:textId="77777777" w:rsidR="002E648B" w:rsidRDefault="002E648B">
            <w:pPr>
              <w:pStyle w:val="TableParagraph"/>
              <w:spacing w:line="256" w:lineRule="auto"/>
              <w:ind w:left="720" w:hanging="360"/>
            </w:pPr>
            <w:r>
              <w:rPr>
                <w:rFonts w:ascii="Symbol" w:hAnsi="Symbol"/>
              </w:rPr>
              <w:t>·</w:t>
            </w:r>
            <w:r>
              <w:rPr>
                <w:rFonts w:ascii="Times New Roman" w:hAnsi="Times New Roman" w:cs="Times New Roman"/>
                <w:sz w:val="14"/>
                <w:szCs w:val="14"/>
              </w:rPr>
              <w:t xml:space="preserve">       </w:t>
            </w:r>
            <w:r>
              <w:rPr>
                <w:b/>
                <w:bCs/>
              </w:rPr>
              <w:t>I am satisfied that to the best of my knowledge, the work produced is solely that of the learner.</w:t>
            </w:r>
          </w:p>
          <w:p w14:paraId="49D9969D" w14:textId="77777777" w:rsidR="002E648B" w:rsidRDefault="002E648B">
            <w:pPr>
              <w:pStyle w:val="TableParagraph"/>
              <w:spacing w:line="256" w:lineRule="auto"/>
            </w:pPr>
            <w:r>
              <w:rPr>
                <w:b/>
                <w:bCs/>
              </w:rPr>
              <w:t> </w:t>
            </w:r>
          </w:p>
        </w:tc>
      </w:tr>
      <w:tr w:rsidR="002E648B" w14:paraId="0E1AF3EA" w14:textId="77777777" w:rsidTr="005D6AB5">
        <w:trPr>
          <w:trHeight w:val="534"/>
        </w:trPr>
        <w:tc>
          <w:tcPr>
            <w:tcW w:w="2261" w:type="pct"/>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65571EC6" w14:textId="77777777" w:rsidR="002E648B" w:rsidRDefault="002E648B">
            <w:pPr>
              <w:pStyle w:val="TableParagraph"/>
              <w:spacing w:line="256" w:lineRule="auto"/>
            </w:pPr>
            <w:r>
              <w:t>Assessor Name</w:t>
            </w:r>
          </w:p>
        </w:tc>
        <w:tc>
          <w:tcPr>
            <w:tcW w:w="2739" w:type="pct"/>
            <w:tcBorders>
              <w:top w:val="nil"/>
              <w:left w:val="nil"/>
              <w:bottom w:val="single" w:sz="8" w:space="0" w:color="000000"/>
              <w:right w:val="single" w:sz="8" w:space="0" w:color="000000"/>
            </w:tcBorders>
            <w:tcMar>
              <w:top w:w="0" w:type="dxa"/>
              <w:left w:w="0" w:type="dxa"/>
              <w:bottom w:w="0" w:type="dxa"/>
              <w:right w:w="0" w:type="dxa"/>
            </w:tcMar>
          </w:tcPr>
          <w:p w14:paraId="5A446D1E" w14:textId="3FAAA1C0" w:rsidR="002E648B" w:rsidRDefault="002E648B">
            <w:pPr>
              <w:pStyle w:val="TableParagraph"/>
              <w:spacing w:line="256" w:lineRule="auto"/>
            </w:pPr>
          </w:p>
        </w:tc>
      </w:tr>
      <w:tr w:rsidR="002E648B" w14:paraId="23FBB22C" w14:textId="77777777" w:rsidTr="002E648B">
        <w:trPr>
          <w:trHeight w:val="556"/>
        </w:trPr>
        <w:tc>
          <w:tcPr>
            <w:tcW w:w="2261" w:type="pct"/>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3B0C0D95" w14:textId="77777777" w:rsidR="002E648B" w:rsidRDefault="002E648B">
            <w:pPr>
              <w:pStyle w:val="TableParagraph"/>
              <w:spacing w:line="256" w:lineRule="auto"/>
            </w:pPr>
            <w:r>
              <w:t>Assessor Signature</w:t>
            </w:r>
          </w:p>
        </w:tc>
        <w:tc>
          <w:tcPr>
            <w:tcW w:w="2739" w:type="pct"/>
            <w:tcBorders>
              <w:top w:val="nil"/>
              <w:left w:val="nil"/>
              <w:bottom w:val="single" w:sz="8" w:space="0" w:color="000000"/>
              <w:right w:val="single" w:sz="8" w:space="0" w:color="000000"/>
            </w:tcBorders>
            <w:tcMar>
              <w:top w:w="0" w:type="dxa"/>
              <w:left w:w="0" w:type="dxa"/>
              <w:bottom w:w="0" w:type="dxa"/>
              <w:right w:w="0" w:type="dxa"/>
            </w:tcMar>
            <w:hideMark/>
          </w:tcPr>
          <w:p w14:paraId="5871E219" w14:textId="100C244F" w:rsidR="002E648B" w:rsidRDefault="002E648B">
            <w:pPr>
              <w:pStyle w:val="TableParagraph"/>
              <w:spacing w:line="256" w:lineRule="auto"/>
            </w:pPr>
            <w:r>
              <w:rPr>
                <w:b/>
                <w:bCs/>
              </w:rPr>
              <w:t> </w:t>
            </w:r>
          </w:p>
        </w:tc>
      </w:tr>
      <w:tr w:rsidR="002E648B" w14:paraId="1568F82F" w14:textId="77777777" w:rsidTr="002E648B">
        <w:trPr>
          <w:trHeight w:val="550"/>
        </w:trPr>
        <w:tc>
          <w:tcPr>
            <w:tcW w:w="2261" w:type="pct"/>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09EF1AB4" w14:textId="77777777" w:rsidR="002E648B" w:rsidRDefault="002E648B">
            <w:pPr>
              <w:pStyle w:val="TableParagraph"/>
              <w:spacing w:line="256" w:lineRule="auto"/>
            </w:pPr>
            <w:r>
              <w:t>Date</w:t>
            </w:r>
          </w:p>
        </w:tc>
        <w:tc>
          <w:tcPr>
            <w:tcW w:w="2739" w:type="pct"/>
            <w:tcBorders>
              <w:top w:val="nil"/>
              <w:left w:val="nil"/>
              <w:bottom w:val="single" w:sz="8" w:space="0" w:color="000000"/>
              <w:right w:val="single" w:sz="8" w:space="0" w:color="000000"/>
            </w:tcBorders>
            <w:tcMar>
              <w:top w:w="0" w:type="dxa"/>
              <w:left w:w="0" w:type="dxa"/>
              <w:bottom w:w="0" w:type="dxa"/>
              <w:right w:w="0" w:type="dxa"/>
            </w:tcMar>
            <w:hideMark/>
          </w:tcPr>
          <w:p w14:paraId="34E02144" w14:textId="3CD9B135" w:rsidR="002E648B" w:rsidRDefault="002E648B">
            <w:pPr>
              <w:pStyle w:val="TableParagraph"/>
              <w:spacing w:line="256" w:lineRule="auto"/>
            </w:pPr>
            <w:r>
              <w:rPr>
                <w:b/>
                <w:bCs/>
              </w:rPr>
              <w:t> </w:t>
            </w:r>
          </w:p>
        </w:tc>
      </w:tr>
      <w:tr w:rsidR="002E648B" w14:paraId="6693BFBF" w14:textId="77777777" w:rsidTr="002E648B">
        <w:trPr>
          <w:trHeight w:val="558"/>
        </w:trPr>
        <w:tc>
          <w:tcPr>
            <w:tcW w:w="2261" w:type="pct"/>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7705EBAD" w14:textId="77777777" w:rsidR="002E648B" w:rsidRDefault="002E648B">
            <w:pPr>
              <w:pStyle w:val="TableParagraph"/>
              <w:spacing w:line="256" w:lineRule="auto"/>
            </w:pPr>
            <w:r>
              <w:t>IQA Name</w:t>
            </w:r>
          </w:p>
        </w:tc>
        <w:tc>
          <w:tcPr>
            <w:tcW w:w="2739" w:type="pct"/>
            <w:tcBorders>
              <w:top w:val="nil"/>
              <w:left w:val="nil"/>
              <w:bottom w:val="single" w:sz="8" w:space="0" w:color="000000"/>
              <w:right w:val="single" w:sz="8" w:space="0" w:color="000000"/>
            </w:tcBorders>
            <w:tcMar>
              <w:top w:w="0" w:type="dxa"/>
              <w:left w:w="0" w:type="dxa"/>
              <w:bottom w:w="0" w:type="dxa"/>
              <w:right w:w="0" w:type="dxa"/>
            </w:tcMar>
            <w:hideMark/>
          </w:tcPr>
          <w:p w14:paraId="392F4C6D" w14:textId="77777777" w:rsidR="002E648B" w:rsidRDefault="002E648B">
            <w:pPr>
              <w:pStyle w:val="TableParagraph"/>
              <w:spacing w:line="256" w:lineRule="auto"/>
            </w:pPr>
            <w:r>
              <w:rPr>
                <w:b/>
                <w:bCs/>
              </w:rPr>
              <w:t> </w:t>
            </w:r>
          </w:p>
        </w:tc>
      </w:tr>
      <w:tr w:rsidR="002E648B" w14:paraId="38CED528" w14:textId="77777777" w:rsidTr="002E648B">
        <w:trPr>
          <w:trHeight w:val="566"/>
        </w:trPr>
        <w:tc>
          <w:tcPr>
            <w:tcW w:w="2261" w:type="pct"/>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4D2FED89" w14:textId="77777777" w:rsidR="002E648B" w:rsidRDefault="002E648B">
            <w:pPr>
              <w:pStyle w:val="TableParagraph"/>
              <w:spacing w:line="256" w:lineRule="auto"/>
            </w:pPr>
            <w:r>
              <w:t>IQA Signature</w:t>
            </w:r>
          </w:p>
        </w:tc>
        <w:tc>
          <w:tcPr>
            <w:tcW w:w="2739" w:type="pct"/>
            <w:tcBorders>
              <w:top w:val="nil"/>
              <w:left w:val="nil"/>
              <w:bottom w:val="single" w:sz="8" w:space="0" w:color="000000"/>
              <w:right w:val="single" w:sz="8" w:space="0" w:color="000000"/>
            </w:tcBorders>
            <w:tcMar>
              <w:top w:w="0" w:type="dxa"/>
              <w:left w:w="0" w:type="dxa"/>
              <w:bottom w:w="0" w:type="dxa"/>
              <w:right w:w="0" w:type="dxa"/>
            </w:tcMar>
            <w:hideMark/>
          </w:tcPr>
          <w:p w14:paraId="42B870DE" w14:textId="77777777" w:rsidR="002E648B" w:rsidRDefault="002E648B">
            <w:pPr>
              <w:pStyle w:val="TableParagraph"/>
              <w:spacing w:line="256" w:lineRule="auto"/>
            </w:pPr>
            <w:r>
              <w:rPr>
                <w:b/>
                <w:bCs/>
              </w:rPr>
              <w:t> </w:t>
            </w:r>
          </w:p>
        </w:tc>
      </w:tr>
      <w:tr w:rsidR="002E648B" w14:paraId="4A4FCD68" w14:textId="77777777" w:rsidTr="002E648B">
        <w:trPr>
          <w:trHeight w:val="546"/>
        </w:trPr>
        <w:tc>
          <w:tcPr>
            <w:tcW w:w="2261" w:type="pct"/>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71D43792" w14:textId="77777777" w:rsidR="002E648B" w:rsidRDefault="002E648B">
            <w:pPr>
              <w:pStyle w:val="TableParagraph"/>
              <w:spacing w:line="256" w:lineRule="auto"/>
            </w:pPr>
            <w:r>
              <w:t>Date</w:t>
            </w:r>
          </w:p>
        </w:tc>
        <w:tc>
          <w:tcPr>
            <w:tcW w:w="2739" w:type="pct"/>
            <w:tcBorders>
              <w:top w:val="nil"/>
              <w:left w:val="nil"/>
              <w:bottom w:val="single" w:sz="8" w:space="0" w:color="000000"/>
              <w:right w:val="single" w:sz="8" w:space="0" w:color="000000"/>
            </w:tcBorders>
            <w:tcMar>
              <w:top w:w="0" w:type="dxa"/>
              <w:left w:w="0" w:type="dxa"/>
              <w:bottom w:w="0" w:type="dxa"/>
              <w:right w:w="0" w:type="dxa"/>
            </w:tcMar>
            <w:hideMark/>
          </w:tcPr>
          <w:p w14:paraId="7564C649" w14:textId="77777777" w:rsidR="002E648B" w:rsidRDefault="002E648B">
            <w:pPr>
              <w:pStyle w:val="TableParagraph"/>
              <w:spacing w:line="256" w:lineRule="auto"/>
            </w:pPr>
            <w:r>
              <w:rPr>
                <w:b/>
                <w:bCs/>
              </w:rPr>
              <w:t> </w:t>
            </w:r>
          </w:p>
          <w:p w14:paraId="3617CE3D" w14:textId="77777777" w:rsidR="002E648B" w:rsidRDefault="002E648B">
            <w:pPr>
              <w:pStyle w:val="TableParagraph"/>
              <w:spacing w:line="256" w:lineRule="auto"/>
            </w:pPr>
            <w:r>
              <w:rPr>
                <w:b/>
                <w:bCs/>
              </w:rPr>
              <w:t> </w:t>
            </w:r>
          </w:p>
        </w:tc>
      </w:tr>
    </w:tbl>
    <w:p w14:paraId="7287E10D" w14:textId="77777777" w:rsidR="002E648B" w:rsidRDefault="002E648B" w:rsidP="002E648B">
      <w:pPr>
        <w:rPr>
          <w:lang w:val="en-GB"/>
        </w:rPr>
      </w:pPr>
      <w:r>
        <w:t> </w:t>
      </w:r>
    </w:p>
    <w:p w14:paraId="61D19A7E" w14:textId="77777777" w:rsidR="002E648B" w:rsidRDefault="002E648B" w:rsidP="002E648B">
      <w:r>
        <w:t> </w:t>
      </w:r>
    </w:p>
    <w:p w14:paraId="4120CDD5" w14:textId="77777777" w:rsidR="002E648B" w:rsidRDefault="002E648B" w:rsidP="002E648B">
      <w:r>
        <w:t> </w:t>
      </w:r>
    </w:p>
    <w:p w14:paraId="00CCE6E8" w14:textId="77777777" w:rsidR="002E648B" w:rsidRDefault="002E648B" w:rsidP="00663EAF">
      <w:pPr>
        <w:spacing w:line="360" w:lineRule="auto"/>
      </w:pPr>
    </w:p>
    <w:p w14:paraId="04AE9B5D" w14:textId="2BE97A4F" w:rsidR="002E648B" w:rsidRPr="006941E3" w:rsidRDefault="002E648B" w:rsidP="002E648B">
      <w:pPr>
        <w:widowControl w:val="0"/>
        <w:numPr>
          <w:ilvl w:val="0"/>
          <w:numId w:val="1"/>
        </w:numPr>
        <w:tabs>
          <w:tab w:val="left" w:pos="1234"/>
        </w:tabs>
        <w:autoSpaceDE w:val="0"/>
        <w:autoSpaceDN w:val="0"/>
        <w:spacing w:before="154" w:after="0" w:line="264" w:lineRule="auto"/>
        <w:ind w:right="372"/>
        <w:rPr>
          <w:rFonts w:ascii="Wingdings" w:eastAsia="Arial" w:hAnsi="Wingdings" w:cs="Arial"/>
          <w:color w:val="520D5D"/>
          <w:lang w:val="en-GB"/>
        </w:rPr>
      </w:pPr>
      <w:r w:rsidRPr="002E648B">
        <w:rPr>
          <w:rFonts w:ascii="Arial" w:eastAsia="Arial" w:hAnsi="Arial" w:cs="Arial"/>
          <w:lang w:val="en-GB"/>
        </w:rPr>
        <w:lastRenderedPageBreak/>
        <w:t>define what is meant by evidence-based practice and how it is applied within organisations,</w:t>
      </w:r>
      <w:r w:rsidRPr="002E648B">
        <w:rPr>
          <w:rFonts w:ascii="Arial" w:eastAsia="Arial" w:hAnsi="Arial" w:cs="Arial"/>
          <w:spacing w:val="-59"/>
          <w:lang w:val="en-GB"/>
        </w:rPr>
        <w:t xml:space="preserve"> </w:t>
      </w:r>
      <w:r w:rsidRPr="002E648B">
        <w:rPr>
          <w:rFonts w:ascii="Arial" w:eastAsia="Arial" w:hAnsi="Arial" w:cs="Arial"/>
          <w:lang w:val="en-GB"/>
        </w:rPr>
        <w:t>providing three examples of different types of evidence-based practice that can be used to</w:t>
      </w:r>
      <w:r w:rsidRPr="002E648B">
        <w:rPr>
          <w:rFonts w:ascii="Arial" w:eastAsia="Arial" w:hAnsi="Arial" w:cs="Arial"/>
          <w:spacing w:val="1"/>
          <w:lang w:val="en-GB"/>
        </w:rPr>
        <w:t xml:space="preserve"> </w:t>
      </w:r>
      <w:r w:rsidRPr="002E648B">
        <w:rPr>
          <w:rFonts w:ascii="Arial" w:eastAsia="Arial" w:hAnsi="Arial" w:cs="Arial"/>
          <w:lang w:val="en-GB"/>
        </w:rPr>
        <w:t>inform</w:t>
      </w:r>
      <w:r w:rsidRPr="002E648B">
        <w:rPr>
          <w:rFonts w:ascii="Arial" w:eastAsia="Arial" w:hAnsi="Arial" w:cs="Arial"/>
          <w:spacing w:val="-2"/>
          <w:lang w:val="en-GB"/>
        </w:rPr>
        <w:t xml:space="preserve"> </w:t>
      </w:r>
      <w:r w:rsidRPr="002E648B">
        <w:rPr>
          <w:rFonts w:ascii="Arial" w:eastAsia="Arial" w:hAnsi="Arial" w:cs="Arial"/>
          <w:lang w:val="en-GB"/>
        </w:rPr>
        <w:t>principle-led</w:t>
      </w:r>
      <w:r w:rsidRPr="002E648B">
        <w:rPr>
          <w:rFonts w:ascii="Arial" w:eastAsia="Arial" w:hAnsi="Arial" w:cs="Arial"/>
          <w:spacing w:val="-2"/>
          <w:lang w:val="en-GB"/>
        </w:rPr>
        <w:t xml:space="preserve"> </w:t>
      </w:r>
      <w:r w:rsidRPr="002E648B">
        <w:rPr>
          <w:rFonts w:ascii="Arial" w:eastAsia="Arial" w:hAnsi="Arial" w:cs="Arial"/>
          <w:lang w:val="en-GB"/>
        </w:rPr>
        <w:t>judgements</w:t>
      </w:r>
      <w:r w:rsidRPr="002E648B">
        <w:rPr>
          <w:rFonts w:ascii="Arial" w:eastAsia="Arial" w:hAnsi="Arial" w:cs="Arial"/>
          <w:spacing w:val="-2"/>
          <w:lang w:val="en-GB"/>
        </w:rPr>
        <w:t xml:space="preserve"> </w:t>
      </w:r>
      <w:r w:rsidRPr="002E648B">
        <w:rPr>
          <w:rFonts w:ascii="Arial" w:eastAsia="Arial" w:hAnsi="Arial" w:cs="Arial"/>
          <w:lang w:val="en-GB"/>
        </w:rPr>
        <w:t>and outcomes</w:t>
      </w:r>
      <w:r w:rsidRPr="002E648B">
        <w:rPr>
          <w:rFonts w:ascii="Arial" w:eastAsia="Arial" w:hAnsi="Arial" w:cs="Arial"/>
          <w:spacing w:val="-3"/>
          <w:lang w:val="en-GB"/>
        </w:rPr>
        <w:t xml:space="preserve"> </w:t>
      </w:r>
      <w:r w:rsidRPr="002E648B">
        <w:rPr>
          <w:rFonts w:ascii="Arial" w:eastAsia="Arial" w:hAnsi="Arial" w:cs="Arial"/>
          <w:lang w:val="en-GB"/>
        </w:rPr>
        <w:t>for</w:t>
      </w:r>
      <w:r w:rsidRPr="002E648B">
        <w:rPr>
          <w:rFonts w:ascii="Arial" w:eastAsia="Arial" w:hAnsi="Arial" w:cs="Arial"/>
          <w:spacing w:val="1"/>
          <w:lang w:val="en-GB"/>
        </w:rPr>
        <w:t xml:space="preserve"> </w:t>
      </w:r>
      <w:r w:rsidRPr="002E648B">
        <w:rPr>
          <w:rFonts w:ascii="Arial" w:eastAsia="Arial" w:hAnsi="Arial" w:cs="Arial"/>
          <w:lang w:val="en-GB"/>
        </w:rPr>
        <w:t>an</w:t>
      </w:r>
      <w:r w:rsidRPr="002E648B">
        <w:rPr>
          <w:rFonts w:ascii="Arial" w:eastAsia="Arial" w:hAnsi="Arial" w:cs="Arial"/>
          <w:spacing w:val="-2"/>
          <w:lang w:val="en-GB"/>
        </w:rPr>
        <w:t xml:space="preserve"> </w:t>
      </w:r>
      <w:r w:rsidRPr="002E648B">
        <w:rPr>
          <w:rFonts w:ascii="Arial" w:eastAsia="Arial" w:hAnsi="Arial" w:cs="Arial"/>
          <w:lang w:val="en-GB"/>
        </w:rPr>
        <w:t>organisation.</w:t>
      </w:r>
      <w:r w:rsidRPr="002E648B">
        <w:rPr>
          <w:rFonts w:ascii="Arial" w:eastAsia="Arial" w:hAnsi="Arial" w:cs="Arial"/>
          <w:spacing w:val="3"/>
          <w:lang w:val="en-GB"/>
        </w:rPr>
        <w:t xml:space="preserve"> </w:t>
      </w:r>
      <w:r w:rsidRPr="002E648B">
        <w:rPr>
          <w:rFonts w:ascii="Arial" w:eastAsia="Arial" w:hAnsi="Arial" w:cs="Arial"/>
          <w:b/>
          <w:bCs/>
          <w:lang w:val="en-GB"/>
        </w:rPr>
        <w:t>(AC 1.1)</w:t>
      </w:r>
      <w:r w:rsidRPr="006941E3">
        <w:rPr>
          <w:rFonts w:ascii="Arial" w:eastAsia="Arial" w:hAnsi="Arial" w:cs="Arial"/>
          <w:b/>
          <w:bCs/>
          <w:lang w:val="en-GB"/>
        </w:rPr>
        <w:t>.</w:t>
      </w:r>
    </w:p>
    <w:p w14:paraId="42FC4C20" w14:textId="77777777" w:rsidR="00663EAF" w:rsidRDefault="00663EAF" w:rsidP="00663EAF">
      <w:pPr>
        <w:spacing w:line="360" w:lineRule="auto"/>
      </w:pPr>
    </w:p>
    <w:p w14:paraId="640144E9" w14:textId="31EBDA04" w:rsidR="00663EAF" w:rsidRDefault="005F4F16" w:rsidP="00663EAF">
      <w:pPr>
        <w:spacing w:line="360" w:lineRule="auto"/>
        <w:jc w:val="center"/>
      </w:pPr>
      <w:r>
        <w:object w:dxaOrig="9605" w:dyaOrig="5393" w14:anchorId="3BD3798F">
          <v:shape id="_x0000_i1026" type="#_x0000_t75" style="width:5in;height:202.1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717839520" r:id="rId9"/>
        </w:object>
      </w:r>
    </w:p>
    <w:p w14:paraId="0C30CAC8" w14:textId="46E01CF8" w:rsidR="00663EAF" w:rsidRDefault="00663EAF" w:rsidP="00663EAF">
      <w:pPr>
        <w:spacing w:line="360" w:lineRule="auto"/>
        <w:jc w:val="center"/>
      </w:pPr>
    </w:p>
    <w:p w14:paraId="1109A916" w14:textId="4249FC1A" w:rsidR="00663EAF" w:rsidRDefault="00663EAF" w:rsidP="00661468">
      <w:pPr>
        <w:autoSpaceDE w:val="0"/>
        <w:autoSpaceDN w:val="0"/>
        <w:adjustRightInd w:val="0"/>
        <w:spacing w:after="0" w:line="360" w:lineRule="auto"/>
        <w:rPr>
          <w:rFonts w:ascii="Calibri" w:eastAsia="Times New Roman" w:hAnsi="Times New Roman" w:cs="Calibri"/>
          <w:kern w:val="24"/>
          <w:sz w:val="24"/>
          <w:szCs w:val="24"/>
        </w:rPr>
      </w:pPr>
      <w:r>
        <w:rPr>
          <w:rFonts w:ascii="Calibri" w:eastAsia="Times New Roman" w:hAnsi="Times New Roman" w:cs="Calibri"/>
          <w:kern w:val="24"/>
          <w:sz w:val="24"/>
          <w:szCs w:val="24"/>
          <w:lang w:val="en-GB"/>
        </w:rPr>
        <w:t xml:space="preserve">In the organisational setting, there are various approaches that the management may utilise in informing their daily decisions, including research and professional consultations. One of the core approaches that have informed organisational decisions is an </w:t>
      </w:r>
      <w:r w:rsidR="00384800">
        <w:rPr>
          <w:rFonts w:ascii="Calibri" w:eastAsia="Times New Roman" w:hAnsi="Times New Roman" w:cs="Calibri"/>
          <w:kern w:val="24"/>
          <w:sz w:val="24"/>
          <w:szCs w:val="24"/>
          <w:lang w:val="en-GB"/>
        </w:rPr>
        <w:t>evidence-based</w:t>
      </w:r>
      <w:r>
        <w:rPr>
          <w:rFonts w:ascii="Calibri" w:eastAsia="Times New Roman" w:hAnsi="Times New Roman" w:cs="Calibri"/>
          <w:kern w:val="24"/>
          <w:sz w:val="24"/>
          <w:szCs w:val="24"/>
          <w:lang w:val="en-GB"/>
        </w:rPr>
        <w:t xml:space="preserve"> framework and practice. Evidence based practice is an intervention which allows stakeholders, including the management teams, to utilise the available information, </w:t>
      </w:r>
      <w:r w:rsidR="00384800">
        <w:rPr>
          <w:rFonts w:ascii="Calibri" w:eastAsia="Times New Roman" w:hAnsi="Times New Roman" w:cs="Calibri"/>
          <w:kern w:val="24"/>
          <w:sz w:val="24"/>
          <w:szCs w:val="24"/>
          <w:lang w:val="en-GB"/>
        </w:rPr>
        <w:t>research,</w:t>
      </w:r>
      <w:r>
        <w:rPr>
          <w:rFonts w:ascii="Calibri" w:eastAsia="Times New Roman" w:hAnsi="Times New Roman" w:cs="Calibri"/>
          <w:kern w:val="24"/>
          <w:sz w:val="24"/>
          <w:szCs w:val="24"/>
          <w:lang w:val="en-GB"/>
        </w:rPr>
        <w:t xml:space="preserve"> and knowledge to determine the best choice based on the costs and benefits of each alternative. Evidence based practice uses critical thinking, which is essential in informing creative decisions and outcomes (Shahid, </w:t>
      </w:r>
      <w:proofErr w:type="spellStart"/>
      <w:r>
        <w:rPr>
          <w:rFonts w:ascii="Calibri" w:eastAsia="Times New Roman" w:hAnsi="Times New Roman" w:cs="Calibri"/>
          <w:kern w:val="24"/>
          <w:sz w:val="24"/>
          <w:szCs w:val="24"/>
          <w:lang w:val="en-GB"/>
        </w:rPr>
        <w:t>Rappon</w:t>
      </w:r>
      <w:proofErr w:type="spellEnd"/>
      <w:r>
        <w:rPr>
          <w:rFonts w:ascii="Calibri" w:eastAsia="Times New Roman" w:hAnsi="Times New Roman" w:cs="Calibri"/>
          <w:kern w:val="24"/>
          <w:sz w:val="24"/>
          <w:szCs w:val="24"/>
          <w:lang w:val="en-GB"/>
        </w:rPr>
        <w:t xml:space="preserve"> &amp; Berta, 2019). Similarly, </w:t>
      </w:r>
      <w:r w:rsidR="00384800">
        <w:rPr>
          <w:rFonts w:ascii="Calibri" w:eastAsia="Times New Roman" w:hAnsi="Times New Roman" w:cs="Calibri"/>
          <w:kern w:val="24"/>
          <w:sz w:val="24"/>
          <w:szCs w:val="24"/>
          <w:lang w:val="en-GB"/>
        </w:rPr>
        <w:t>evidence-based</w:t>
      </w:r>
      <w:r>
        <w:rPr>
          <w:rFonts w:ascii="Calibri" w:eastAsia="Times New Roman" w:hAnsi="Times New Roman" w:cs="Calibri"/>
          <w:kern w:val="24"/>
          <w:sz w:val="24"/>
          <w:szCs w:val="24"/>
          <w:lang w:val="en-GB"/>
        </w:rPr>
        <w:t xml:space="preserve"> practice, when applied in the organisation, creates a foundation for utilising the available expertise and knowledge in making the ideal decisions concerning the presenting issues or concerns. Management teams use this practice as a foundation for managing people and ensuring strategic decision making (</w:t>
      </w:r>
      <w:r>
        <w:rPr>
          <w:rFonts w:ascii="Calibri" w:hAnsi="Calibri" w:cs="Calibri"/>
          <w:kern w:val="24"/>
          <w:sz w:val="24"/>
          <w:szCs w:val="24"/>
          <w:lang w:val="fr-FR"/>
        </w:rPr>
        <w:t>Luthans, Luthans &amp; Luthans, 2021</w:t>
      </w:r>
      <w:r>
        <w:rPr>
          <w:rFonts w:ascii="Calibri" w:eastAsia="Times New Roman" w:hAnsi="Times New Roman" w:cs="Calibri"/>
          <w:kern w:val="24"/>
          <w:sz w:val="24"/>
          <w:szCs w:val="24"/>
          <w:lang w:val="en-GB"/>
        </w:rPr>
        <w:t xml:space="preserve">). Evidence based practice is applied in the organisational setting as a tool for enhancing communication and professional input in making decisions since it is based on critical thinking. Evidence based practice is applied in the organisational setting as the </w:t>
      </w:r>
      <w:r>
        <w:rPr>
          <w:rFonts w:ascii="Calibri" w:eastAsia="Times New Roman" w:hAnsi="Times New Roman" w:cs="Calibri"/>
          <w:kern w:val="24"/>
          <w:sz w:val="24"/>
          <w:szCs w:val="24"/>
          <w:lang w:val="en-GB"/>
        </w:rPr>
        <w:lastRenderedPageBreak/>
        <w:t xml:space="preserve">default decision-making framework (Shahid, </w:t>
      </w:r>
      <w:proofErr w:type="spellStart"/>
      <w:r>
        <w:rPr>
          <w:rFonts w:ascii="Calibri" w:eastAsia="Times New Roman" w:hAnsi="Times New Roman" w:cs="Calibri"/>
          <w:kern w:val="24"/>
          <w:sz w:val="24"/>
          <w:szCs w:val="24"/>
          <w:lang w:val="en-GB"/>
        </w:rPr>
        <w:t>Rappon</w:t>
      </w:r>
      <w:proofErr w:type="spellEnd"/>
      <w:r>
        <w:rPr>
          <w:rFonts w:ascii="Calibri" w:eastAsia="Times New Roman" w:hAnsi="Times New Roman" w:cs="Calibri"/>
          <w:kern w:val="24"/>
          <w:sz w:val="24"/>
          <w:szCs w:val="24"/>
          <w:lang w:val="en-GB"/>
        </w:rPr>
        <w:t xml:space="preserve"> &amp; Berta, 2019). The ultimate decisions are informed by the available resources, informait0on, evidence and expert judgement, which are the foundations for evidence-based practice. The management teams must understand the nature of the information collected in developing effective strategies for handling the presenting decisions and dilemmas. </w:t>
      </w:r>
    </w:p>
    <w:p w14:paraId="3AA8769A" w14:textId="1FDF09BA" w:rsidR="00663EAF" w:rsidRDefault="00663EAF" w:rsidP="00661468">
      <w:pPr>
        <w:autoSpaceDE w:val="0"/>
        <w:autoSpaceDN w:val="0"/>
        <w:adjustRightInd w:val="0"/>
        <w:spacing w:after="0" w:line="360" w:lineRule="auto"/>
        <w:rPr>
          <w:rFonts w:ascii="Calibri" w:eastAsia="Times New Roman" w:hAnsi="Times New Roman" w:cs="Calibri"/>
          <w:kern w:val="24"/>
          <w:sz w:val="24"/>
          <w:szCs w:val="24"/>
        </w:rPr>
      </w:pPr>
      <w:r>
        <w:rPr>
          <w:rFonts w:ascii="Calibri" w:eastAsia="Times New Roman" w:hAnsi="Times New Roman" w:cs="Calibri"/>
          <w:kern w:val="24"/>
          <w:sz w:val="24"/>
          <w:szCs w:val="24"/>
          <w:lang w:val="en-GB"/>
        </w:rPr>
        <w:t xml:space="preserve">There are various examples and sources which define </w:t>
      </w:r>
      <w:r w:rsidR="00384800">
        <w:rPr>
          <w:rFonts w:ascii="Calibri" w:eastAsia="Times New Roman" w:hAnsi="Times New Roman" w:cs="Calibri"/>
          <w:kern w:val="24"/>
          <w:sz w:val="24"/>
          <w:szCs w:val="24"/>
          <w:lang w:val="en-GB"/>
        </w:rPr>
        <w:t>evidence-based</w:t>
      </w:r>
      <w:r>
        <w:rPr>
          <w:rFonts w:ascii="Calibri" w:eastAsia="Times New Roman" w:hAnsi="Times New Roman" w:cs="Calibri"/>
          <w:kern w:val="24"/>
          <w:sz w:val="24"/>
          <w:szCs w:val="24"/>
          <w:lang w:val="en-GB"/>
        </w:rPr>
        <w:t xml:space="preserve"> practice. One of the goals and intentions of using </w:t>
      </w:r>
      <w:r w:rsidR="00384800">
        <w:rPr>
          <w:rFonts w:ascii="Calibri" w:eastAsia="Times New Roman" w:hAnsi="Times New Roman" w:cs="Calibri"/>
          <w:kern w:val="24"/>
          <w:sz w:val="24"/>
          <w:szCs w:val="24"/>
          <w:lang w:val="en-GB"/>
        </w:rPr>
        <w:t>evidence-based</w:t>
      </w:r>
      <w:r>
        <w:rPr>
          <w:rFonts w:ascii="Calibri" w:eastAsia="Times New Roman" w:hAnsi="Times New Roman" w:cs="Calibri"/>
          <w:kern w:val="24"/>
          <w:sz w:val="24"/>
          <w:szCs w:val="24"/>
          <w:lang w:val="en-GB"/>
        </w:rPr>
        <w:t xml:space="preserve"> practice in the workplace is to inform the decisions made concerning the presenting issues. It is worth mentioning that the decisions made are uniformed by the expertise and capacity of the involved stakeholders to value the alternatives and select the best intervention which matches the current organisational needs and demands (Shahid, </w:t>
      </w:r>
      <w:proofErr w:type="spellStart"/>
      <w:r>
        <w:rPr>
          <w:rFonts w:ascii="Calibri" w:eastAsia="Times New Roman" w:hAnsi="Times New Roman" w:cs="Calibri"/>
          <w:kern w:val="24"/>
          <w:sz w:val="24"/>
          <w:szCs w:val="24"/>
          <w:lang w:val="en-GB"/>
        </w:rPr>
        <w:t>Rappon</w:t>
      </w:r>
      <w:proofErr w:type="spellEnd"/>
      <w:r>
        <w:rPr>
          <w:rFonts w:ascii="Calibri" w:eastAsia="Times New Roman" w:hAnsi="Times New Roman" w:cs="Calibri"/>
          <w:kern w:val="24"/>
          <w:sz w:val="24"/>
          <w:szCs w:val="24"/>
          <w:lang w:val="en-GB"/>
        </w:rPr>
        <w:t xml:space="preserve"> &amp; Berta, 2019). The primary examples of </w:t>
      </w:r>
      <w:r w:rsidR="00384800">
        <w:rPr>
          <w:rFonts w:ascii="Calibri" w:eastAsia="Times New Roman" w:hAnsi="Times New Roman" w:cs="Calibri"/>
          <w:kern w:val="24"/>
          <w:sz w:val="24"/>
          <w:szCs w:val="24"/>
          <w:lang w:val="en-GB"/>
        </w:rPr>
        <w:t>evidence-based</w:t>
      </w:r>
      <w:r>
        <w:rPr>
          <w:rFonts w:ascii="Calibri" w:eastAsia="Times New Roman" w:hAnsi="Times New Roman" w:cs="Calibri"/>
          <w:kern w:val="24"/>
          <w:sz w:val="24"/>
          <w:szCs w:val="24"/>
          <w:lang w:val="en-GB"/>
        </w:rPr>
        <w:t xml:space="preserve"> practices which inform the decisions made within the organisational setting are scientific literature. Scientific literature provides credible information about past experiences and industrial trends in organisational decision-making practices (Shahid, </w:t>
      </w:r>
      <w:proofErr w:type="spellStart"/>
      <w:r>
        <w:rPr>
          <w:rFonts w:ascii="Calibri" w:eastAsia="Times New Roman" w:hAnsi="Times New Roman" w:cs="Calibri"/>
          <w:kern w:val="24"/>
          <w:sz w:val="24"/>
          <w:szCs w:val="24"/>
          <w:lang w:val="en-GB"/>
        </w:rPr>
        <w:t>Rappon</w:t>
      </w:r>
      <w:proofErr w:type="spellEnd"/>
      <w:r>
        <w:rPr>
          <w:rFonts w:ascii="Calibri" w:eastAsia="Times New Roman" w:hAnsi="Times New Roman" w:cs="Calibri"/>
          <w:kern w:val="24"/>
          <w:sz w:val="24"/>
          <w:szCs w:val="24"/>
          <w:lang w:val="en-GB"/>
        </w:rPr>
        <w:t xml:space="preserve"> &amp; Berta, 2019). The literature provides a historical exploration of the developments witnessed in the past concerning organisational decisions. This approach is beneficial because it increases the effectiveness of the underlying decisions concerning organisational outcomes. On the same note, organisations rely on this concept in developing effective interventions based on increasing awareness about credible information when making the underlying decisions (Shahid, </w:t>
      </w:r>
      <w:proofErr w:type="spellStart"/>
      <w:r>
        <w:rPr>
          <w:rFonts w:ascii="Calibri" w:eastAsia="Times New Roman" w:hAnsi="Times New Roman" w:cs="Calibri"/>
          <w:kern w:val="24"/>
          <w:sz w:val="24"/>
          <w:szCs w:val="24"/>
          <w:lang w:val="en-GB"/>
        </w:rPr>
        <w:t>Rappon</w:t>
      </w:r>
      <w:proofErr w:type="spellEnd"/>
      <w:r>
        <w:rPr>
          <w:rFonts w:ascii="Calibri" w:eastAsia="Times New Roman" w:hAnsi="Times New Roman" w:cs="Calibri"/>
          <w:kern w:val="24"/>
          <w:sz w:val="24"/>
          <w:szCs w:val="24"/>
          <w:lang w:val="en-GB"/>
        </w:rPr>
        <w:t xml:space="preserve"> &amp; Berta, 2019). The second example is organisational data. Organisational data is based on past and progressive information about the corporate trends which have been recorded in various areas like management. This data is essential because it allows the stakeholders, including the management, to inform the credibility of the underlying decisions (Shahid, </w:t>
      </w:r>
      <w:proofErr w:type="spellStart"/>
      <w:r>
        <w:rPr>
          <w:rFonts w:ascii="Calibri" w:eastAsia="Times New Roman" w:hAnsi="Times New Roman" w:cs="Calibri"/>
          <w:kern w:val="24"/>
          <w:sz w:val="24"/>
          <w:szCs w:val="24"/>
          <w:lang w:val="en-GB"/>
        </w:rPr>
        <w:t>Rappon</w:t>
      </w:r>
      <w:proofErr w:type="spellEnd"/>
      <w:r>
        <w:rPr>
          <w:rFonts w:ascii="Calibri" w:eastAsia="Times New Roman" w:hAnsi="Times New Roman" w:cs="Calibri"/>
          <w:kern w:val="24"/>
          <w:sz w:val="24"/>
          <w:szCs w:val="24"/>
          <w:lang w:val="en-GB"/>
        </w:rPr>
        <w:t xml:space="preserve"> &amp; Berta, 2019). Organisational data can be obtained from various dimensions, including the consumers, market and internal operational environments. The gathered data plays a critical role in defining organisational success in meeting the desired goals. The third example is the expert judgement or the core stakeholders, who may include the managers and business leaders. These stakeholders are selected and appointed based on their educational expertise and qualifications. These stakeholders are an essential source of organisational data, which enables </w:t>
      </w:r>
      <w:r>
        <w:rPr>
          <w:rFonts w:ascii="Calibri" w:eastAsia="Times New Roman" w:hAnsi="Times New Roman" w:cs="Calibri"/>
          <w:kern w:val="24"/>
          <w:sz w:val="24"/>
          <w:szCs w:val="24"/>
          <w:lang w:val="en-GB"/>
        </w:rPr>
        <w:lastRenderedPageBreak/>
        <w:t xml:space="preserve">them to inform the decisions made concerning the effectiveness of the selected ideas. It is worth mentioning that the success achieved in meeting the desires of an organisation may depend on the expertise of the leaders. Since expert judgement is informed by experience and knowledge, the resulting decisions are effective and reliable, which enhances the overall organisational outcomes. </w:t>
      </w:r>
    </w:p>
    <w:p w14:paraId="6BDAC1F7" w14:textId="77777777" w:rsidR="00663EAF" w:rsidRDefault="00663EAF" w:rsidP="00663EAF">
      <w:pPr>
        <w:autoSpaceDE w:val="0"/>
        <w:autoSpaceDN w:val="0"/>
        <w:adjustRightInd w:val="0"/>
        <w:spacing w:after="0" w:line="240" w:lineRule="auto"/>
        <w:rPr>
          <w:rFonts w:ascii="Arial" w:hAnsi="Arial" w:cs="Arial"/>
          <w:sz w:val="24"/>
          <w:szCs w:val="24"/>
        </w:rPr>
      </w:pPr>
    </w:p>
    <w:p w14:paraId="1EC4266B" w14:textId="425020A2" w:rsidR="00663EAF" w:rsidRDefault="00663EAF" w:rsidP="00663EAF">
      <w:pPr>
        <w:spacing w:line="360" w:lineRule="auto"/>
      </w:pPr>
    </w:p>
    <w:p w14:paraId="1700C317" w14:textId="134913D6" w:rsidR="00663EAF" w:rsidRDefault="00663EAF">
      <w:r>
        <w:br w:type="page"/>
      </w:r>
    </w:p>
    <w:p w14:paraId="758AC158" w14:textId="2F3163CA" w:rsidR="00663EAF" w:rsidRPr="002E648B" w:rsidRDefault="002E648B" w:rsidP="002E648B">
      <w:pPr>
        <w:widowControl w:val="0"/>
        <w:numPr>
          <w:ilvl w:val="0"/>
          <w:numId w:val="1"/>
        </w:numPr>
        <w:tabs>
          <w:tab w:val="left" w:pos="1234"/>
        </w:tabs>
        <w:autoSpaceDE w:val="0"/>
        <w:autoSpaceDN w:val="0"/>
        <w:spacing w:before="151" w:after="0" w:line="264" w:lineRule="auto"/>
        <w:ind w:right="1587"/>
        <w:rPr>
          <w:rFonts w:ascii="Wingdings" w:eastAsia="Arial" w:hAnsi="Wingdings" w:cs="Arial"/>
          <w:color w:val="520D5D"/>
          <w:lang w:val="en-GB"/>
        </w:rPr>
      </w:pPr>
      <w:r w:rsidRPr="002E648B">
        <w:rPr>
          <w:rFonts w:ascii="Arial" w:eastAsia="Arial" w:hAnsi="Arial" w:cs="Arial"/>
          <w:lang w:val="en-GB"/>
        </w:rPr>
        <w:lastRenderedPageBreak/>
        <w:t>explain the reasons why it is important to use data to help assist organisational</w:t>
      </w:r>
      <w:r w:rsidRPr="002E648B">
        <w:rPr>
          <w:rFonts w:ascii="Arial" w:eastAsia="Arial" w:hAnsi="Arial" w:cs="Arial"/>
          <w:spacing w:val="-59"/>
          <w:lang w:val="en-GB"/>
        </w:rPr>
        <w:t xml:space="preserve"> </w:t>
      </w:r>
      <w:r w:rsidRPr="002E648B">
        <w:rPr>
          <w:rFonts w:ascii="Arial" w:eastAsia="Arial" w:hAnsi="Arial" w:cs="Arial"/>
          <w:lang w:val="en-GB"/>
        </w:rPr>
        <w:t>improvements</w:t>
      </w:r>
      <w:r w:rsidRPr="002E648B">
        <w:rPr>
          <w:rFonts w:ascii="Arial" w:eastAsia="Arial" w:hAnsi="Arial" w:cs="Arial"/>
          <w:spacing w:val="-2"/>
          <w:lang w:val="en-GB"/>
        </w:rPr>
        <w:t xml:space="preserve"> </w:t>
      </w:r>
      <w:r w:rsidRPr="002E648B">
        <w:rPr>
          <w:rFonts w:ascii="Arial" w:eastAsia="Arial" w:hAnsi="Arial" w:cs="Arial"/>
          <w:lang w:val="en-GB"/>
        </w:rPr>
        <w:t>and</w:t>
      </w:r>
      <w:r w:rsidRPr="002E648B">
        <w:rPr>
          <w:rFonts w:ascii="Arial" w:eastAsia="Arial" w:hAnsi="Arial" w:cs="Arial"/>
          <w:spacing w:val="-1"/>
          <w:lang w:val="en-GB"/>
        </w:rPr>
        <w:t xml:space="preserve"> </w:t>
      </w:r>
      <w:r w:rsidRPr="002E648B">
        <w:rPr>
          <w:rFonts w:ascii="Arial" w:eastAsia="Arial" w:hAnsi="Arial" w:cs="Arial"/>
          <w:lang w:val="en-GB"/>
        </w:rPr>
        <w:t>why</w:t>
      </w:r>
      <w:r w:rsidRPr="002E648B">
        <w:rPr>
          <w:rFonts w:ascii="Arial" w:eastAsia="Arial" w:hAnsi="Arial" w:cs="Arial"/>
          <w:spacing w:val="-3"/>
          <w:lang w:val="en-GB"/>
        </w:rPr>
        <w:t xml:space="preserve"> </w:t>
      </w:r>
      <w:r w:rsidRPr="002E648B">
        <w:rPr>
          <w:rFonts w:ascii="Arial" w:eastAsia="Arial" w:hAnsi="Arial" w:cs="Arial"/>
          <w:lang w:val="en-GB"/>
        </w:rPr>
        <w:t>this data</w:t>
      </w:r>
      <w:r w:rsidRPr="002E648B">
        <w:rPr>
          <w:rFonts w:ascii="Arial" w:eastAsia="Arial" w:hAnsi="Arial" w:cs="Arial"/>
          <w:spacing w:val="-1"/>
          <w:lang w:val="en-GB"/>
        </w:rPr>
        <w:t xml:space="preserve"> </w:t>
      </w:r>
      <w:r w:rsidRPr="002E648B">
        <w:rPr>
          <w:rFonts w:ascii="Arial" w:eastAsia="Arial" w:hAnsi="Arial" w:cs="Arial"/>
          <w:lang w:val="en-GB"/>
        </w:rPr>
        <w:t>need</w:t>
      </w:r>
      <w:r w:rsidRPr="002E648B">
        <w:rPr>
          <w:rFonts w:ascii="Arial" w:eastAsia="Arial" w:hAnsi="Arial" w:cs="Arial"/>
          <w:spacing w:val="-3"/>
          <w:lang w:val="en-GB"/>
        </w:rPr>
        <w:t xml:space="preserve"> </w:t>
      </w:r>
      <w:r w:rsidRPr="002E648B">
        <w:rPr>
          <w:rFonts w:ascii="Arial" w:eastAsia="Arial" w:hAnsi="Arial" w:cs="Arial"/>
          <w:lang w:val="en-GB"/>
        </w:rPr>
        <w:t>to</w:t>
      </w:r>
      <w:r w:rsidRPr="002E648B">
        <w:rPr>
          <w:rFonts w:ascii="Arial" w:eastAsia="Arial" w:hAnsi="Arial" w:cs="Arial"/>
          <w:spacing w:val="-1"/>
          <w:lang w:val="en-GB"/>
        </w:rPr>
        <w:t xml:space="preserve"> </w:t>
      </w:r>
      <w:r w:rsidRPr="002E648B">
        <w:rPr>
          <w:rFonts w:ascii="Arial" w:eastAsia="Arial" w:hAnsi="Arial" w:cs="Arial"/>
          <w:lang w:val="en-GB"/>
        </w:rPr>
        <w:t>be</w:t>
      </w:r>
      <w:r w:rsidRPr="002E648B">
        <w:rPr>
          <w:rFonts w:ascii="Arial" w:eastAsia="Arial" w:hAnsi="Arial" w:cs="Arial"/>
          <w:spacing w:val="-2"/>
          <w:lang w:val="en-GB"/>
        </w:rPr>
        <w:t xml:space="preserve"> </w:t>
      </w:r>
      <w:r w:rsidRPr="002E648B">
        <w:rPr>
          <w:rFonts w:ascii="Arial" w:eastAsia="Arial" w:hAnsi="Arial" w:cs="Arial"/>
          <w:lang w:val="en-GB"/>
        </w:rPr>
        <w:t>timely,</w:t>
      </w:r>
      <w:r w:rsidRPr="002E648B">
        <w:rPr>
          <w:rFonts w:ascii="Arial" w:eastAsia="Arial" w:hAnsi="Arial" w:cs="Arial"/>
          <w:spacing w:val="1"/>
          <w:lang w:val="en-GB"/>
        </w:rPr>
        <w:t xml:space="preserve"> </w:t>
      </w:r>
      <w:r w:rsidRPr="002E648B">
        <w:rPr>
          <w:rFonts w:ascii="Arial" w:eastAsia="Arial" w:hAnsi="Arial" w:cs="Arial"/>
          <w:lang w:val="en-GB"/>
        </w:rPr>
        <w:t>ethical</w:t>
      </w:r>
      <w:r w:rsidRPr="002E648B">
        <w:rPr>
          <w:rFonts w:ascii="Arial" w:eastAsia="Arial" w:hAnsi="Arial" w:cs="Arial"/>
          <w:spacing w:val="-2"/>
          <w:lang w:val="en-GB"/>
        </w:rPr>
        <w:t xml:space="preserve"> </w:t>
      </w:r>
      <w:r w:rsidRPr="002E648B">
        <w:rPr>
          <w:rFonts w:ascii="Arial" w:eastAsia="Arial" w:hAnsi="Arial" w:cs="Arial"/>
          <w:lang w:val="en-GB"/>
        </w:rPr>
        <w:t>and</w:t>
      </w:r>
      <w:r w:rsidRPr="002E648B">
        <w:rPr>
          <w:rFonts w:ascii="Arial" w:eastAsia="Arial" w:hAnsi="Arial" w:cs="Arial"/>
          <w:spacing w:val="-1"/>
          <w:lang w:val="en-GB"/>
        </w:rPr>
        <w:t xml:space="preserve"> </w:t>
      </w:r>
      <w:r w:rsidRPr="002E648B">
        <w:rPr>
          <w:rFonts w:ascii="Arial" w:eastAsia="Arial" w:hAnsi="Arial" w:cs="Arial"/>
          <w:lang w:val="en-GB"/>
        </w:rPr>
        <w:t>accurate.</w:t>
      </w:r>
      <w:r w:rsidRPr="002E648B">
        <w:rPr>
          <w:rFonts w:ascii="Arial" w:eastAsia="Arial" w:hAnsi="Arial" w:cs="Arial"/>
          <w:spacing w:val="-2"/>
          <w:lang w:val="en-GB"/>
        </w:rPr>
        <w:t xml:space="preserve"> </w:t>
      </w:r>
      <w:r w:rsidRPr="002E648B">
        <w:rPr>
          <w:rFonts w:ascii="Arial" w:eastAsia="Arial" w:hAnsi="Arial" w:cs="Arial"/>
          <w:b/>
          <w:bCs/>
          <w:lang w:val="en-GB"/>
        </w:rPr>
        <w:t>(AC 1.2)</w:t>
      </w:r>
    </w:p>
    <w:p w14:paraId="2CA6B1E0" w14:textId="1202AE7A" w:rsidR="00663EAF" w:rsidRDefault="00663EAF" w:rsidP="00663EAF">
      <w:pPr>
        <w:spacing w:line="360" w:lineRule="auto"/>
      </w:pPr>
    </w:p>
    <w:p w14:paraId="0BEC3878" w14:textId="0AB4AC1A" w:rsidR="00663EAF" w:rsidRDefault="00663EAF" w:rsidP="00663EAF">
      <w:pPr>
        <w:spacing w:line="360" w:lineRule="auto"/>
        <w:jc w:val="center"/>
      </w:pPr>
      <w:r>
        <w:object w:dxaOrig="9605" w:dyaOrig="5393" w14:anchorId="22A740B6">
          <v:shape id="_x0000_i1027" type="#_x0000_t75" style="width:5in;height:202.1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7" DrawAspect="Content" ObjectID="_1717839521" r:id="rId11"/>
        </w:object>
      </w:r>
    </w:p>
    <w:p w14:paraId="503B094E" w14:textId="03E0E775" w:rsidR="00663EAF" w:rsidRDefault="00663EAF" w:rsidP="00663EAF">
      <w:pPr>
        <w:spacing w:line="360" w:lineRule="auto"/>
        <w:jc w:val="center"/>
      </w:pPr>
    </w:p>
    <w:p w14:paraId="2780458E" w14:textId="548739F8" w:rsidR="00663EAF" w:rsidRPr="00326FEF" w:rsidRDefault="00663EAF" w:rsidP="00326FEF">
      <w:pPr>
        <w:autoSpaceDE w:val="0"/>
        <w:autoSpaceDN w:val="0"/>
        <w:adjustRightInd w:val="0"/>
        <w:spacing w:after="0" w:line="360" w:lineRule="auto"/>
        <w:rPr>
          <w:rFonts w:ascii="Calibri" w:eastAsia="Times New Roman" w:hAnsi="Times New Roman" w:cs="Calibri"/>
          <w:kern w:val="24"/>
          <w:sz w:val="24"/>
          <w:szCs w:val="24"/>
        </w:rPr>
      </w:pPr>
      <w:r>
        <w:rPr>
          <w:rFonts w:ascii="Calibri" w:eastAsia="Times New Roman" w:hAnsi="Times New Roman" w:cs="Calibri"/>
          <w:kern w:val="24"/>
          <w:sz w:val="24"/>
          <w:szCs w:val="24"/>
          <w:lang w:val="en-GB"/>
        </w:rPr>
        <w:t>One of the core resources which support and defi9ne organisational success is data. Organisational data is essential because it offers a foundation for accomplishing better returns from an operational dimension. Organisational data is vital in informing the decisions made in various areas. Data plays a critical role in informing corporate decisions in improving the core areas like human resources and marketing (</w:t>
      </w:r>
      <w:proofErr w:type="spellStart"/>
      <w:r>
        <w:rPr>
          <w:rFonts w:ascii="Calibri" w:eastAsia="Times New Roman" w:hAnsi="Times New Roman" w:cs="Calibri"/>
          <w:kern w:val="24"/>
          <w:sz w:val="24"/>
          <w:szCs w:val="24"/>
          <w:lang w:val="en-GB"/>
        </w:rPr>
        <w:t>Koohang</w:t>
      </w:r>
      <w:proofErr w:type="spellEnd"/>
      <w:r>
        <w:rPr>
          <w:rFonts w:ascii="Calibri" w:eastAsia="Times New Roman" w:hAnsi="Times New Roman" w:cs="Calibri"/>
          <w:kern w:val="24"/>
          <w:sz w:val="24"/>
          <w:szCs w:val="24"/>
          <w:lang w:val="en-GB"/>
        </w:rPr>
        <w:t xml:space="preserve"> &amp; Nord, 2021). There are various sources of data that an organisation may utilise in informing its decisions. One of these sources is the market. The market presents essential information about the organisation, including performance, market share and but not limited to, consumer perceptions. The collected data is vital because it informs decisions by allowing stakeholders to utilise facts in determining the best alternatives (</w:t>
      </w:r>
      <w:proofErr w:type="spellStart"/>
      <w:r>
        <w:rPr>
          <w:rFonts w:ascii="Calibri" w:eastAsia="Times New Roman" w:hAnsi="Times New Roman" w:cs="Calibri"/>
          <w:kern w:val="24"/>
          <w:sz w:val="24"/>
          <w:szCs w:val="24"/>
          <w:lang w:val="en-GB"/>
        </w:rPr>
        <w:t>Koohang</w:t>
      </w:r>
      <w:proofErr w:type="spellEnd"/>
      <w:r>
        <w:rPr>
          <w:rFonts w:ascii="Calibri" w:eastAsia="Times New Roman" w:hAnsi="Times New Roman" w:cs="Calibri"/>
          <w:kern w:val="24"/>
          <w:sz w:val="24"/>
          <w:szCs w:val="24"/>
          <w:lang w:val="en-GB"/>
        </w:rPr>
        <w:t xml:space="preserve"> &amp; Nord, 2021). However, it is worth mentioning that data used in the workplace must be timely, accurate and ethical. The rationale for this requirement is that ethical data reduce malpractices and immoral practices, which may affect the effectiveness and credibility of the resulting decisions (</w:t>
      </w:r>
      <w:proofErr w:type="spellStart"/>
      <w:r>
        <w:rPr>
          <w:rFonts w:ascii="Calibri" w:eastAsia="Times New Roman" w:hAnsi="Times New Roman" w:cs="Calibri"/>
          <w:kern w:val="24"/>
          <w:sz w:val="24"/>
          <w:szCs w:val="24"/>
          <w:lang w:val="en-GB"/>
        </w:rPr>
        <w:t>Koohang</w:t>
      </w:r>
      <w:proofErr w:type="spellEnd"/>
      <w:r>
        <w:rPr>
          <w:rFonts w:ascii="Calibri" w:eastAsia="Times New Roman" w:hAnsi="Times New Roman" w:cs="Calibri"/>
          <w:kern w:val="24"/>
          <w:sz w:val="24"/>
          <w:szCs w:val="24"/>
          <w:lang w:val="en-GB"/>
        </w:rPr>
        <w:t xml:space="preserve"> &amp; Nord, 2021). Similarly, using recent and accurate data encourages and fosters timely decisions, which enhance resilience in providing the required solutions. </w:t>
      </w:r>
    </w:p>
    <w:p w14:paraId="5678112A" w14:textId="77777777" w:rsidR="002E648B" w:rsidRPr="002E648B" w:rsidRDefault="002E648B" w:rsidP="002E648B">
      <w:pPr>
        <w:widowControl w:val="0"/>
        <w:numPr>
          <w:ilvl w:val="0"/>
          <w:numId w:val="1"/>
        </w:numPr>
        <w:tabs>
          <w:tab w:val="left" w:pos="1234"/>
        </w:tabs>
        <w:autoSpaceDE w:val="0"/>
        <w:autoSpaceDN w:val="0"/>
        <w:spacing w:before="156" w:after="0" w:line="264" w:lineRule="auto"/>
        <w:ind w:right="888"/>
        <w:jc w:val="both"/>
        <w:rPr>
          <w:rFonts w:ascii="Wingdings" w:eastAsia="Arial" w:hAnsi="Wingdings" w:cs="Arial"/>
          <w:color w:val="520D5D"/>
          <w:lang w:val="en-GB"/>
        </w:rPr>
      </w:pPr>
      <w:r w:rsidRPr="002E648B">
        <w:rPr>
          <w:rFonts w:ascii="Arial" w:eastAsia="Arial" w:hAnsi="Arial" w:cs="Arial"/>
          <w:lang w:val="en-GB"/>
        </w:rPr>
        <w:lastRenderedPageBreak/>
        <w:t>explain two different types of data measurements and information that can be used by</w:t>
      </w:r>
      <w:r w:rsidRPr="002E648B">
        <w:rPr>
          <w:rFonts w:ascii="Arial" w:eastAsia="Arial" w:hAnsi="Arial" w:cs="Arial"/>
          <w:spacing w:val="-59"/>
          <w:lang w:val="en-GB"/>
        </w:rPr>
        <w:t xml:space="preserve"> </w:t>
      </w:r>
      <w:r w:rsidRPr="002E648B">
        <w:rPr>
          <w:rFonts w:ascii="Arial" w:eastAsia="Arial" w:hAnsi="Arial" w:cs="Arial"/>
          <w:lang w:val="en-GB"/>
        </w:rPr>
        <w:t>people professionals, and how they are each used to collect and collate information to</w:t>
      </w:r>
      <w:r w:rsidRPr="002E648B">
        <w:rPr>
          <w:rFonts w:ascii="Arial" w:eastAsia="Arial" w:hAnsi="Arial" w:cs="Arial"/>
          <w:spacing w:val="-59"/>
          <w:lang w:val="en-GB"/>
        </w:rPr>
        <w:t xml:space="preserve"> </w:t>
      </w:r>
      <w:r w:rsidRPr="002E648B">
        <w:rPr>
          <w:rFonts w:ascii="Arial" w:eastAsia="Arial" w:hAnsi="Arial" w:cs="Arial"/>
          <w:lang w:val="en-GB"/>
        </w:rPr>
        <w:t>support</w:t>
      </w:r>
      <w:r w:rsidRPr="002E648B">
        <w:rPr>
          <w:rFonts w:ascii="Arial" w:eastAsia="Arial" w:hAnsi="Arial" w:cs="Arial"/>
          <w:spacing w:val="-2"/>
          <w:lang w:val="en-GB"/>
        </w:rPr>
        <w:t xml:space="preserve"> </w:t>
      </w:r>
      <w:r w:rsidRPr="002E648B">
        <w:rPr>
          <w:rFonts w:ascii="Arial" w:eastAsia="Arial" w:hAnsi="Arial" w:cs="Arial"/>
          <w:lang w:val="en-GB"/>
        </w:rPr>
        <w:t>effective decision making.</w:t>
      </w:r>
      <w:r w:rsidRPr="002E648B">
        <w:rPr>
          <w:rFonts w:ascii="Arial" w:eastAsia="Arial" w:hAnsi="Arial" w:cs="Arial"/>
          <w:spacing w:val="-1"/>
          <w:lang w:val="en-GB"/>
        </w:rPr>
        <w:t xml:space="preserve"> </w:t>
      </w:r>
      <w:r w:rsidRPr="002E648B">
        <w:rPr>
          <w:rFonts w:ascii="Arial" w:eastAsia="Arial" w:hAnsi="Arial" w:cs="Arial"/>
          <w:b/>
          <w:bCs/>
          <w:lang w:val="en-GB"/>
        </w:rPr>
        <w:t>(AC 1.3)</w:t>
      </w:r>
    </w:p>
    <w:p w14:paraId="573D8834" w14:textId="6E9F22FB" w:rsidR="00663EAF" w:rsidRDefault="00663EAF" w:rsidP="00663EAF">
      <w:pPr>
        <w:spacing w:line="360" w:lineRule="auto"/>
      </w:pPr>
    </w:p>
    <w:p w14:paraId="6A0DED32" w14:textId="4FCCC1D1" w:rsidR="00663EAF" w:rsidRDefault="00663EAF" w:rsidP="00663EAF">
      <w:pPr>
        <w:spacing w:line="360" w:lineRule="auto"/>
        <w:jc w:val="center"/>
      </w:pPr>
      <w:r>
        <w:object w:dxaOrig="9605" w:dyaOrig="5393" w14:anchorId="03EC2D29">
          <v:shape id="_x0000_i1028" type="#_x0000_t75" style="width:5in;height:202.1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8" DrawAspect="Content" ObjectID="_1717839522" r:id="rId13"/>
        </w:object>
      </w:r>
    </w:p>
    <w:p w14:paraId="7D34446A" w14:textId="5931A060" w:rsidR="00663EAF" w:rsidRDefault="00663EAF" w:rsidP="00663EAF">
      <w:pPr>
        <w:spacing w:line="360" w:lineRule="auto"/>
        <w:jc w:val="center"/>
      </w:pPr>
    </w:p>
    <w:p w14:paraId="64E5DED9" w14:textId="77777777" w:rsidR="00663EAF" w:rsidRDefault="00663EAF" w:rsidP="00661468">
      <w:pPr>
        <w:autoSpaceDE w:val="0"/>
        <w:autoSpaceDN w:val="0"/>
        <w:adjustRightInd w:val="0"/>
        <w:spacing w:after="0" w:line="360" w:lineRule="auto"/>
        <w:rPr>
          <w:rFonts w:ascii="Calibri" w:eastAsia="Times New Roman" w:hAnsi="Times New Roman" w:cs="Calibri"/>
          <w:kern w:val="24"/>
          <w:sz w:val="24"/>
          <w:szCs w:val="24"/>
        </w:rPr>
      </w:pPr>
      <w:r>
        <w:rPr>
          <w:rFonts w:ascii="Calibri" w:eastAsia="Times New Roman" w:hAnsi="Times New Roman" w:cs="Calibri"/>
          <w:kern w:val="24"/>
          <w:sz w:val="24"/>
          <w:szCs w:val="24"/>
          <w:lang w:val="en-GB"/>
        </w:rPr>
        <w:t>In the people's professional management practices, it is essential to consider the different types of data collection measures which are used in enhancing the overall awareness of the organisational needs. People professionals rely on different types of data measures which create a high-level overview of the underlying environments while promoting effective decision making (</w:t>
      </w:r>
      <w:proofErr w:type="spellStart"/>
      <w:r>
        <w:rPr>
          <w:rFonts w:ascii="Calibri" w:eastAsia="Times New Roman" w:hAnsi="Times New Roman" w:cs="Calibri"/>
          <w:kern w:val="24"/>
          <w:sz w:val="24"/>
          <w:szCs w:val="24"/>
          <w:lang w:val="en-GB"/>
        </w:rPr>
        <w:t>Schmiedel</w:t>
      </w:r>
      <w:proofErr w:type="spellEnd"/>
      <w:r>
        <w:rPr>
          <w:rFonts w:ascii="Calibri" w:eastAsia="Times New Roman" w:hAnsi="Times New Roman" w:cs="Calibri"/>
          <w:kern w:val="24"/>
          <w:sz w:val="24"/>
          <w:szCs w:val="24"/>
          <w:lang w:val="en-GB"/>
        </w:rPr>
        <w:t>, M</w:t>
      </w:r>
      <w:r>
        <w:rPr>
          <w:rFonts w:ascii="Calibri" w:eastAsia="Times New Roman" w:hAnsi="Times New Roman" w:cs="Calibri"/>
          <w:kern w:val="24"/>
          <w:sz w:val="24"/>
          <w:szCs w:val="24"/>
          <w:lang w:val="en-GB"/>
        </w:rPr>
        <w:t>ü</w:t>
      </w:r>
      <w:r>
        <w:rPr>
          <w:rFonts w:ascii="Calibri" w:eastAsia="Times New Roman" w:hAnsi="Times New Roman" w:cs="Calibri"/>
          <w:kern w:val="24"/>
          <w:sz w:val="24"/>
          <w:szCs w:val="24"/>
          <w:lang w:val="en-GB"/>
        </w:rPr>
        <w:t xml:space="preserve">ller &amp; </w:t>
      </w:r>
      <w:proofErr w:type="spellStart"/>
      <w:r>
        <w:rPr>
          <w:rFonts w:ascii="Calibri" w:eastAsia="Times New Roman" w:hAnsi="Times New Roman" w:cs="Calibri"/>
          <w:kern w:val="24"/>
          <w:sz w:val="24"/>
          <w:szCs w:val="24"/>
          <w:lang w:val="en-GB"/>
        </w:rPr>
        <w:t>vom</w:t>
      </w:r>
      <w:proofErr w:type="spellEnd"/>
      <w:r>
        <w:rPr>
          <w:rFonts w:ascii="Calibri" w:eastAsia="Times New Roman" w:hAnsi="Times New Roman" w:cs="Calibri"/>
          <w:kern w:val="24"/>
          <w:sz w:val="24"/>
          <w:szCs w:val="24"/>
          <w:lang w:val="en-GB"/>
        </w:rPr>
        <w:t xml:space="preserve"> </w:t>
      </w:r>
      <w:proofErr w:type="spellStart"/>
      <w:r>
        <w:rPr>
          <w:rFonts w:ascii="Calibri" w:eastAsia="Times New Roman" w:hAnsi="Times New Roman" w:cs="Calibri"/>
          <w:kern w:val="24"/>
          <w:sz w:val="24"/>
          <w:szCs w:val="24"/>
          <w:lang w:val="en-GB"/>
        </w:rPr>
        <w:t>Brocke</w:t>
      </w:r>
      <w:proofErr w:type="spellEnd"/>
      <w:r>
        <w:rPr>
          <w:rFonts w:ascii="Calibri" w:eastAsia="Times New Roman" w:hAnsi="Times New Roman" w:cs="Calibri"/>
          <w:kern w:val="24"/>
          <w:sz w:val="24"/>
          <w:szCs w:val="24"/>
          <w:lang w:val="en-GB"/>
        </w:rPr>
        <w:t>, 2019). The two measurement types are qualitative and quantitative frameworks. In qualitative measures, the primary focus is gathering theoretical information about the workplace to inform the decisions made within the high-level dimensions. Examples of theoretical information gathered by people professionals include observations about the workforce and but are not limited to employee engagement patterns (</w:t>
      </w:r>
      <w:proofErr w:type="spellStart"/>
      <w:r>
        <w:rPr>
          <w:rFonts w:ascii="Calibri" w:eastAsia="Times New Roman" w:hAnsi="Times New Roman" w:cs="Calibri"/>
          <w:kern w:val="24"/>
          <w:sz w:val="24"/>
          <w:szCs w:val="24"/>
          <w:lang w:val="en-GB"/>
        </w:rPr>
        <w:t>Schmiedel</w:t>
      </w:r>
      <w:proofErr w:type="spellEnd"/>
      <w:r>
        <w:rPr>
          <w:rFonts w:ascii="Calibri" w:eastAsia="Times New Roman" w:hAnsi="Times New Roman" w:cs="Calibri"/>
          <w:kern w:val="24"/>
          <w:sz w:val="24"/>
          <w:szCs w:val="24"/>
          <w:lang w:val="en-GB"/>
        </w:rPr>
        <w:t>, M</w:t>
      </w:r>
      <w:r>
        <w:rPr>
          <w:rFonts w:ascii="Calibri" w:eastAsia="Times New Roman" w:hAnsi="Times New Roman" w:cs="Calibri"/>
          <w:kern w:val="24"/>
          <w:sz w:val="24"/>
          <w:szCs w:val="24"/>
          <w:lang w:val="en-GB"/>
        </w:rPr>
        <w:t>ü</w:t>
      </w:r>
      <w:r>
        <w:rPr>
          <w:rFonts w:ascii="Calibri" w:eastAsia="Times New Roman" w:hAnsi="Times New Roman" w:cs="Calibri"/>
          <w:kern w:val="24"/>
          <w:sz w:val="24"/>
          <w:szCs w:val="24"/>
          <w:lang w:val="en-GB"/>
        </w:rPr>
        <w:t xml:space="preserve">ller &amp; </w:t>
      </w:r>
      <w:proofErr w:type="spellStart"/>
      <w:r>
        <w:rPr>
          <w:rFonts w:ascii="Calibri" w:eastAsia="Times New Roman" w:hAnsi="Times New Roman" w:cs="Calibri"/>
          <w:kern w:val="24"/>
          <w:sz w:val="24"/>
          <w:szCs w:val="24"/>
          <w:lang w:val="en-GB"/>
        </w:rPr>
        <w:t>vom</w:t>
      </w:r>
      <w:proofErr w:type="spellEnd"/>
      <w:r>
        <w:rPr>
          <w:rFonts w:ascii="Calibri" w:eastAsia="Times New Roman" w:hAnsi="Times New Roman" w:cs="Calibri"/>
          <w:kern w:val="24"/>
          <w:sz w:val="24"/>
          <w:szCs w:val="24"/>
          <w:lang w:val="en-GB"/>
        </w:rPr>
        <w:t xml:space="preserve"> </w:t>
      </w:r>
      <w:proofErr w:type="spellStart"/>
      <w:r>
        <w:rPr>
          <w:rFonts w:ascii="Calibri" w:eastAsia="Times New Roman" w:hAnsi="Times New Roman" w:cs="Calibri"/>
          <w:kern w:val="24"/>
          <w:sz w:val="24"/>
          <w:szCs w:val="24"/>
          <w:lang w:val="en-GB"/>
        </w:rPr>
        <w:t>Brocke</w:t>
      </w:r>
      <w:proofErr w:type="spellEnd"/>
      <w:r>
        <w:rPr>
          <w:rFonts w:ascii="Calibri" w:eastAsia="Times New Roman" w:hAnsi="Times New Roman" w:cs="Calibri"/>
          <w:kern w:val="24"/>
          <w:sz w:val="24"/>
          <w:szCs w:val="24"/>
          <w:lang w:val="en-GB"/>
        </w:rPr>
        <w:t>, 2019). These details are vital for enhancing organisational decisions. From a quantitative dimension, people professionals may utilise advanced measurement tools to gather statistical data about the organisation. Examples of statistical data which may inform organisational decisions are the total number of absent employees and the average workforce age. This information promotes decision making since the people professionals can quantify the underlying attributes that define the workforce (</w:t>
      </w:r>
      <w:proofErr w:type="spellStart"/>
      <w:r>
        <w:rPr>
          <w:rFonts w:ascii="Calibri" w:eastAsia="Times New Roman" w:hAnsi="Times New Roman" w:cs="Calibri"/>
          <w:kern w:val="24"/>
          <w:sz w:val="24"/>
          <w:szCs w:val="24"/>
          <w:lang w:val="en-GB"/>
        </w:rPr>
        <w:t>Schmiedel</w:t>
      </w:r>
      <w:proofErr w:type="spellEnd"/>
      <w:r>
        <w:rPr>
          <w:rFonts w:ascii="Calibri" w:eastAsia="Times New Roman" w:hAnsi="Times New Roman" w:cs="Calibri"/>
          <w:kern w:val="24"/>
          <w:sz w:val="24"/>
          <w:szCs w:val="24"/>
          <w:lang w:val="en-GB"/>
        </w:rPr>
        <w:t xml:space="preserve">, </w:t>
      </w:r>
      <w:r>
        <w:rPr>
          <w:rFonts w:ascii="Calibri" w:eastAsia="Times New Roman" w:hAnsi="Times New Roman" w:cs="Calibri"/>
          <w:kern w:val="24"/>
          <w:sz w:val="24"/>
          <w:szCs w:val="24"/>
          <w:lang w:val="en-GB"/>
        </w:rPr>
        <w:lastRenderedPageBreak/>
        <w:t>M</w:t>
      </w:r>
      <w:r>
        <w:rPr>
          <w:rFonts w:ascii="Calibri" w:eastAsia="Times New Roman" w:hAnsi="Times New Roman" w:cs="Calibri"/>
          <w:kern w:val="24"/>
          <w:sz w:val="24"/>
          <w:szCs w:val="24"/>
          <w:lang w:val="en-GB"/>
        </w:rPr>
        <w:t>ü</w:t>
      </w:r>
      <w:r>
        <w:rPr>
          <w:rFonts w:ascii="Calibri" w:eastAsia="Times New Roman" w:hAnsi="Times New Roman" w:cs="Calibri"/>
          <w:kern w:val="24"/>
          <w:sz w:val="24"/>
          <w:szCs w:val="24"/>
          <w:lang w:val="en-GB"/>
        </w:rPr>
        <w:t xml:space="preserve">ller &amp; </w:t>
      </w:r>
      <w:proofErr w:type="spellStart"/>
      <w:r>
        <w:rPr>
          <w:rFonts w:ascii="Calibri" w:eastAsia="Times New Roman" w:hAnsi="Times New Roman" w:cs="Calibri"/>
          <w:kern w:val="24"/>
          <w:sz w:val="24"/>
          <w:szCs w:val="24"/>
          <w:lang w:val="en-GB"/>
        </w:rPr>
        <w:t>vom</w:t>
      </w:r>
      <w:proofErr w:type="spellEnd"/>
      <w:r>
        <w:rPr>
          <w:rFonts w:ascii="Calibri" w:eastAsia="Times New Roman" w:hAnsi="Times New Roman" w:cs="Calibri"/>
          <w:kern w:val="24"/>
          <w:sz w:val="24"/>
          <w:szCs w:val="24"/>
          <w:lang w:val="en-GB"/>
        </w:rPr>
        <w:t xml:space="preserve"> </w:t>
      </w:r>
      <w:proofErr w:type="spellStart"/>
      <w:r>
        <w:rPr>
          <w:rFonts w:ascii="Calibri" w:eastAsia="Times New Roman" w:hAnsi="Times New Roman" w:cs="Calibri"/>
          <w:kern w:val="24"/>
          <w:sz w:val="24"/>
          <w:szCs w:val="24"/>
          <w:lang w:val="en-GB"/>
        </w:rPr>
        <w:t>Brocke</w:t>
      </w:r>
      <w:proofErr w:type="spellEnd"/>
      <w:r>
        <w:rPr>
          <w:rFonts w:ascii="Calibri" w:eastAsia="Times New Roman" w:hAnsi="Times New Roman" w:cs="Calibri"/>
          <w:kern w:val="24"/>
          <w:sz w:val="24"/>
          <w:szCs w:val="24"/>
          <w:lang w:val="en-GB"/>
        </w:rPr>
        <w:t>, 2019). Also, quantitative data can be used to shape future organisational decisions because it is easy to forecast performance (</w:t>
      </w:r>
      <w:proofErr w:type="spellStart"/>
      <w:r>
        <w:rPr>
          <w:rFonts w:ascii="Calibri" w:eastAsia="Times New Roman" w:hAnsi="Times New Roman" w:cs="Calibri"/>
          <w:kern w:val="24"/>
          <w:sz w:val="24"/>
          <w:szCs w:val="24"/>
          <w:lang w:val="en-GB"/>
        </w:rPr>
        <w:t>Schmiedel</w:t>
      </w:r>
      <w:proofErr w:type="spellEnd"/>
      <w:r>
        <w:rPr>
          <w:rFonts w:ascii="Calibri" w:eastAsia="Times New Roman" w:hAnsi="Times New Roman" w:cs="Calibri"/>
          <w:kern w:val="24"/>
          <w:sz w:val="24"/>
          <w:szCs w:val="24"/>
          <w:lang w:val="en-GB"/>
        </w:rPr>
        <w:t>, M</w:t>
      </w:r>
      <w:r>
        <w:rPr>
          <w:rFonts w:ascii="Calibri" w:eastAsia="Times New Roman" w:hAnsi="Times New Roman" w:cs="Calibri"/>
          <w:kern w:val="24"/>
          <w:sz w:val="24"/>
          <w:szCs w:val="24"/>
          <w:lang w:val="en-GB"/>
        </w:rPr>
        <w:t>ü</w:t>
      </w:r>
      <w:r>
        <w:rPr>
          <w:rFonts w:ascii="Calibri" w:eastAsia="Times New Roman" w:hAnsi="Times New Roman" w:cs="Calibri"/>
          <w:kern w:val="24"/>
          <w:sz w:val="24"/>
          <w:szCs w:val="24"/>
          <w:lang w:val="en-GB"/>
        </w:rPr>
        <w:t xml:space="preserve">ller &amp; </w:t>
      </w:r>
      <w:proofErr w:type="spellStart"/>
      <w:r>
        <w:rPr>
          <w:rFonts w:ascii="Calibri" w:eastAsia="Times New Roman" w:hAnsi="Times New Roman" w:cs="Calibri"/>
          <w:kern w:val="24"/>
          <w:sz w:val="24"/>
          <w:szCs w:val="24"/>
          <w:lang w:val="en-GB"/>
        </w:rPr>
        <w:t>vom</w:t>
      </w:r>
      <w:proofErr w:type="spellEnd"/>
      <w:r>
        <w:rPr>
          <w:rFonts w:ascii="Calibri" w:eastAsia="Times New Roman" w:hAnsi="Times New Roman" w:cs="Calibri"/>
          <w:kern w:val="24"/>
          <w:sz w:val="24"/>
          <w:szCs w:val="24"/>
          <w:lang w:val="en-GB"/>
        </w:rPr>
        <w:t xml:space="preserve"> </w:t>
      </w:r>
      <w:proofErr w:type="spellStart"/>
      <w:r>
        <w:rPr>
          <w:rFonts w:ascii="Calibri" w:eastAsia="Times New Roman" w:hAnsi="Times New Roman" w:cs="Calibri"/>
          <w:kern w:val="24"/>
          <w:sz w:val="24"/>
          <w:szCs w:val="24"/>
          <w:lang w:val="en-GB"/>
        </w:rPr>
        <w:t>Brocke</w:t>
      </w:r>
      <w:proofErr w:type="spellEnd"/>
      <w:r>
        <w:rPr>
          <w:rFonts w:ascii="Calibri" w:eastAsia="Times New Roman" w:hAnsi="Times New Roman" w:cs="Calibri"/>
          <w:kern w:val="24"/>
          <w:sz w:val="24"/>
          <w:szCs w:val="24"/>
          <w:lang w:val="en-GB"/>
        </w:rPr>
        <w:t xml:space="preserve">, 2019). Qualitative measures are used to assess theoretical elements that define an organisation. These elements are vital for improving organisational decisions considering people coordination. </w:t>
      </w:r>
    </w:p>
    <w:p w14:paraId="4073FD1C" w14:textId="3CC204E5" w:rsidR="00663EAF" w:rsidRDefault="00663EAF" w:rsidP="00661468">
      <w:pPr>
        <w:spacing w:line="360" w:lineRule="auto"/>
      </w:pPr>
      <w:r>
        <w:br w:type="page"/>
      </w:r>
    </w:p>
    <w:p w14:paraId="2B56C53F" w14:textId="7463FF10" w:rsidR="00663EAF" w:rsidRPr="006941E3" w:rsidRDefault="006941E3" w:rsidP="006941E3">
      <w:pPr>
        <w:pStyle w:val="ListParagraph"/>
        <w:numPr>
          <w:ilvl w:val="0"/>
          <w:numId w:val="1"/>
        </w:numPr>
        <w:tabs>
          <w:tab w:val="left" w:pos="1234"/>
        </w:tabs>
        <w:spacing w:line="264" w:lineRule="auto"/>
        <w:ind w:right="333"/>
        <w:rPr>
          <w:rFonts w:ascii="Wingdings" w:hAnsi="Wingdings"/>
          <w:color w:val="520D5D"/>
        </w:rPr>
      </w:pPr>
      <w:r>
        <w:lastRenderedPageBreak/>
        <w:t>explain how organisational policies, procedures and other forms of evidence can be used to</w:t>
      </w:r>
      <w:r>
        <w:rPr>
          <w:spacing w:val="-59"/>
        </w:rPr>
        <w:t xml:space="preserve"> </w:t>
      </w:r>
      <w:r>
        <w:t>support</w:t>
      </w:r>
      <w:r>
        <w:rPr>
          <w:spacing w:val="-2"/>
        </w:rPr>
        <w:t xml:space="preserve"> </w:t>
      </w:r>
      <w:r>
        <w:t>appropriate choices and decisions.</w:t>
      </w:r>
      <w:r>
        <w:rPr>
          <w:spacing w:val="2"/>
        </w:rPr>
        <w:t xml:space="preserve"> </w:t>
      </w:r>
      <w:r>
        <w:rPr>
          <w:b/>
          <w:bCs/>
        </w:rPr>
        <w:t>(AC 1.5)</w:t>
      </w:r>
    </w:p>
    <w:p w14:paraId="3B3CF0AA" w14:textId="77777777" w:rsidR="006941E3" w:rsidRPr="006941E3" w:rsidRDefault="006941E3" w:rsidP="006941E3">
      <w:pPr>
        <w:pStyle w:val="ListParagraph"/>
        <w:tabs>
          <w:tab w:val="left" w:pos="1234"/>
        </w:tabs>
        <w:spacing w:line="264" w:lineRule="auto"/>
        <w:ind w:right="333" w:firstLine="0"/>
        <w:rPr>
          <w:rFonts w:ascii="Wingdings" w:hAnsi="Wingdings"/>
          <w:color w:val="520D5D"/>
        </w:rPr>
      </w:pPr>
    </w:p>
    <w:p w14:paraId="50E0D67C" w14:textId="282B022D" w:rsidR="00663EAF" w:rsidRDefault="00663EAF" w:rsidP="00663EAF">
      <w:pPr>
        <w:spacing w:line="360" w:lineRule="auto"/>
        <w:jc w:val="center"/>
      </w:pPr>
      <w:r>
        <w:object w:dxaOrig="9605" w:dyaOrig="5393" w14:anchorId="61802B11">
          <v:shape id="_x0000_i1029" type="#_x0000_t75" style="width:5in;height:202.1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9" DrawAspect="Content" ObjectID="_1717839523" r:id="rId15"/>
        </w:object>
      </w:r>
    </w:p>
    <w:p w14:paraId="14FF441A" w14:textId="05C17D8C" w:rsidR="00663EAF" w:rsidRDefault="00663EAF" w:rsidP="00663EAF">
      <w:pPr>
        <w:spacing w:line="360" w:lineRule="auto"/>
        <w:jc w:val="center"/>
      </w:pPr>
    </w:p>
    <w:p w14:paraId="166A4156" w14:textId="77777777" w:rsidR="00663EAF" w:rsidRDefault="00663EAF" w:rsidP="00661468">
      <w:pPr>
        <w:autoSpaceDE w:val="0"/>
        <w:autoSpaceDN w:val="0"/>
        <w:adjustRightInd w:val="0"/>
        <w:spacing w:after="0" w:line="360" w:lineRule="auto"/>
        <w:rPr>
          <w:rFonts w:ascii="Calibri" w:eastAsia="Times New Roman" w:hAnsi="Times New Roman" w:cs="Calibri"/>
          <w:kern w:val="24"/>
          <w:sz w:val="24"/>
          <w:szCs w:val="24"/>
        </w:rPr>
      </w:pPr>
      <w:r>
        <w:rPr>
          <w:rFonts w:ascii="Calibri" w:eastAsia="Times New Roman" w:hAnsi="Times New Roman" w:cs="Calibri"/>
          <w:kern w:val="24"/>
          <w:sz w:val="24"/>
          <w:szCs w:val="24"/>
          <w:lang w:val="en-GB"/>
        </w:rPr>
        <w:t xml:space="preserve">The prevailing policies, guidelines and procedures play a critical role in the organisational decision-making processes because they are involved in informing the management teams based on the prevailing rules and regulations (Al-Jaber, 2020). These guidelines define boundaries that the stakeholders, including the employees and management teams, must observe when undertaking their daily operations. The sources of evidence used in the organisational setting, including literature and expert judgement, are essential because they promote consistency in decision making. Similarly, supervisors and the managerial teams rely on these guidelines to enforce rules which best match the corporate mission and vision (Al-Jaber, 2020). On the same note, these resources provide essential interventions for ensuring accuracy in timely maintenance of the required interventions to achieve better returns from a decision-making dimension. </w:t>
      </w:r>
    </w:p>
    <w:p w14:paraId="055938BE" w14:textId="77777777" w:rsidR="00663EAF" w:rsidRDefault="00663EAF" w:rsidP="00661468">
      <w:pPr>
        <w:autoSpaceDE w:val="0"/>
        <w:autoSpaceDN w:val="0"/>
        <w:adjustRightInd w:val="0"/>
        <w:spacing w:after="0" w:line="360" w:lineRule="auto"/>
        <w:rPr>
          <w:rFonts w:ascii="Arial" w:hAnsi="Arial" w:cs="Arial"/>
          <w:sz w:val="24"/>
          <w:szCs w:val="24"/>
        </w:rPr>
      </w:pPr>
    </w:p>
    <w:p w14:paraId="6AFA0666" w14:textId="4AE282DA" w:rsidR="00663EAF" w:rsidRDefault="00663EAF" w:rsidP="00663EAF">
      <w:pPr>
        <w:spacing w:line="360" w:lineRule="auto"/>
      </w:pPr>
    </w:p>
    <w:p w14:paraId="6EC2B704" w14:textId="3EF3FBC8" w:rsidR="00663EAF" w:rsidRDefault="00663EAF">
      <w:r>
        <w:br w:type="page"/>
      </w:r>
    </w:p>
    <w:p w14:paraId="310EEDB7" w14:textId="776A87CB" w:rsidR="00663EAF" w:rsidRPr="006941E3" w:rsidRDefault="006941E3" w:rsidP="006941E3">
      <w:pPr>
        <w:widowControl w:val="0"/>
        <w:numPr>
          <w:ilvl w:val="0"/>
          <w:numId w:val="1"/>
        </w:numPr>
        <w:tabs>
          <w:tab w:val="left" w:pos="1234"/>
        </w:tabs>
        <w:autoSpaceDE w:val="0"/>
        <w:autoSpaceDN w:val="0"/>
        <w:spacing w:before="159" w:after="0" w:line="264" w:lineRule="auto"/>
        <w:ind w:right="752"/>
        <w:rPr>
          <w:rFonts w:ascii="Wingdings" w:eastAsia="Arial" w:hAnsi="Wingdings" w:cs="Arial"/>
          <w:color w:val="520D5D"/>
          <w:lang w:val="en-GB"/>
        </w:rPr>
      </w:pPr>
      <w:r w:rsidRPr="006941E3">
        <w:rPr>
          <w:rFonts w:ascii="Arial" w:eastAsia="Arial" w:hAnsi="Arial" w:cs="Arial"/>
          <w:lang w:val="en-GB"/>
        </w:rPr>
        <w:lastRenderedPageBreak/>
        <w:t>explain the range of internal and external customers and stakeholders, that people</w:t>
      </w:r>
      <w:r w:rsidRPr="006941E3">
        <w:rPr>
          <w:rFonts w:ascii="Arial" w:eastAsia="Arial" w:hAnsi="Arial" w:cs="Arial"/>
          <w:spacing w:val="1"/>
          <w:lang w:val="en-GB"/>
        </w:rPr>
        <w:t xml:space="preserve"> </w:t>
      </w:r>
      <w:r w:rsidRPr="006941E3">
        <w:rPr>
          <w:rFonts w:ascii="Arial" w:eastAsia="Arial" w:hAnsi="Arial" w:cs="Arial"/>
          <w:lang w:val="en-GB"/>
        </w:rPr>
        <w:t>professionals</w:t>
      </w:r>
      <w:r w:rsidRPr="006941E3">
        <w:rPr>
          <w:rFonts w:ascii="Arial" w:eastAsia="Arial" w:hAnsi="Arial" w:cs="Arial"/>
          <w:spacing w:val="-1"/>
          <w:lang w:val="en-GB"/>
        </w:rPr>
        <w:t xml:space="preserve"> </w:t>
      </w:r>
      <w:r w:rsidRPr="006941E3">
        <w:rPr>
          <w:rFonts w:ascii="Arial" w:eastAsia="Arial" w:hAnsi="Arial" w:cs="Arial"/>
          <w:lang w:val="en-GB"/>
        </w:rPr>
        <w:t>work with,</w:t>
      </w:r>
      <w:r w:rsidRPr="006941E3">
        <w:rPr>
          <w:rFonts w:ascii="Arial" w:eastAsia="Arial" w:hAnsi="Arial" w:cs="Arial"/>
          <w:spacing w:val="-3"/>
          <w:lang w:val="en-GB"/>
        </w:rPr>
        <w:t xml:space="preserve"> </w:t>
      </w:r>
      <w:r w:rsidRPr="006941E3">
        <w:rPr>
          <w:rFonts w:ascii="Arial" w:eastAsia="Arial" w:hAnsi="Arial" w:cs="Arial"/>
          <w:lang w:val="en-GB"/>
        </w:rPr>
        <w:t>and</w:t>
      </w:r>
      <w:r w:rsidRPr="006941E3">
        <w:rPr>
          <w:rFonts w:ascii="Arial" w:eastAsia="Arial" w:hAnsi="Arial" w:cs="Arial"/>
          <w:spacing w:val="-2"/>
          <w:lang w:val="en-GB"/>
        </w:rPr>
        <w:t xml:space="preserve"> </w:t>
      </w:r>
      <w:r w:rsidRPr="006941E3">
        <w:rPr>
          <w:rFonts w:ascii="Arial" w:eastAsia="Arial" w:hAnsi="Arial" w:cs="Arial"/>
          <w:lang w:val="en-GB"/>
        </w:rPr>
        <w:t>the</w:t>
      </w:r>
      <w:r w:rsidRPr="006941E3">
        <w:rPr>
          <w:rFonts w:ascii="Arial" w:eastAsia="Arial" w:hAnsi="Arial" w:cs="Arial"/>
          <w:spacing w:val="-4"/>
          <w:lang w:val="en-GB"/>
        </w:rPr>
        <w:t xml:space="preserve"> </w:t>
      </w:r>
      <w:r w:rsidRPr="006941E3">
        <w:rPr>
          <w:rFonts w:ascii="Arial" w:eastAsia="Arial" w:hAnsi="Arial" w:cs="Arial"/>
          <w:lang w:val="en-GB"/>
        </w:rPr>
        <w:t>part</w:t>
      </w:r>
      <w:r w:rsidRPr="006941E3">
        <w:rPr>
          <w:rFonts w:ascii="Arial" w:eastAsia="Arial" w:hAnsi="Arial" w:cs="Arial"/>
          <w:spacing w:val="-3"/>
          <w:lang w:val="en-GB"/>
        </w:rPr>
        <w:t xml:space="preserve"> </w:t>
      </w:r>
      <w:r w:rsidRPr="006941E3">
        <w:rPr>
          <w:rFonts w:ascii="Arial" w:eastAsia="Arial" w:hAnsi="Arial" w:cs="Arial"/>
          <w:lang w:val="en-GB"/>
        </w:rPr>
        <w:t>that</w:t>
      </w:r>
      <w:r w:rsidRPr="006941E3">
        <w:rPr>
          <w:rFonts w:ascii="Arial" w:eastAsia="Arial" w:hAnsi="Arial" w:cs="Arial"/>
          <w:spacing w:val="-3"/>
          <w:lang w:val="en-GB"/>
        </w:rPr>
        <w:t xml:space="preserve"> </w:t>
      </w:r>
      <w:r w:rsidRPr="006941E3">
        <w:rPr>
          <w:rFonts w:ascii="Arial" w:eastAsia="Arial" w:hAnsi="Arial" w:cs="Arial"/>
          <w:lang w:val="en-GB"/>
        </w:rPr>
        <w:t>influencing</w:t>
      </w:r>
      <w:r w:rsidRPr="006941E3">
        <w:rPr>
          <w:rFonts w:ascii="Arial" w:eastAsia="Arial" w:hAnsi="Arial" w:cs="Arial"/>
          <w:spacing w:val="-2"/>
          <w:lang w:val="en-GB"/>
        </w:rPr>
        <w:t xml:space="preserve"> </w:t>
      </w:r>
      <w:r w:rsidRPr="006941E3">
        <w:rPr>
          <w:rFonts w:ascii="Arial" w:eastAsia="Arial" w:hAnsi="Arial" w:cs="Arial"/>
          <w:lang w:val="en-GB"/>
        </w:rPr>
        <w:t>plays</w:t>
      </w:r>
      <w:r w:rsidRPr="006941E3">
        <w:rPr>
          <w:rFonts w:ascii="Arial" w:eastAsia="Arial" w:hAnsi="Arial" w:cs="Arial"/>
          <w:spacing w:val="-1"/>
          <w:lang w:val="en-GB"/>
        </w:rPr>
        <w:t xml:space="preserve"> </w:t>
      </w:r>
      <w:r w:rsidRPr="006941E3">
        <w:rPr>
          <w:rFonts w:ascii="Arial" w:eastAsia="Arial" w:hAnsi="Arial" w:cs="Arial"/>
          <w:lang w:val="en-GB"/>
        </w:rPr>
        <w:t>within</w:t>
      </w:r>
      <w:r w:rsidRPr="006941E3">
        <w:rPr>
          <w:rFonts w:ascii="Arial" w:eastAsia="Arial" w:hAnsi="Arial" w:cs="Arial"/>
          <w:spacing w:val="-1"/>
          <w:lang w:val="en-GB"/>
        </w:rPr>
        <w:t xml:space="preserve"> </w:t>
      </w:r>
      <w:r w:rsidRPr="006941E3">
        <w:rPr>
          <w:rFonts w:ascii="Arial" w:eastAsia="Arial" w:hAnsi="Arial" w:cs="Arial"/>
          <w:lang w:val="en-GB"/>
        </w:rPr>
        <w:t>the</w:t>
      </w:r>
      <w:r w:rsidRPr="006941E3">
        <w:rPr>
          <w:rFonts w:ascii="Arial" w:eastAsia="Arial" w:hAnsi="Arial" w:cs="Arial"/>
          <w:spacing w:val="-4"/>
          <w:lang w:val="en-GB"/>
        </w:rPr>
        <w:t xml:space="preserve"> </w:t>
      </w:r>
      <w:r w:rsidRPr="006941E3">
        <w:rPr>
          <w:rFonts w:ascii="Arial" w:eastAsia="Arial" w:hAnsi="Arial" w:cs="Arial"/>
          <w:lang w:val="en-GB"/>
        </w:rPr>
        <w:t>relationships</w:t>
      </w:r>
      <w:r w:rsidRPr="006941E3">
        <w:rPr>
          <w:rFonts w:ascii="Arial" w:eastAsia="Arial" w:hAnsi="Arial" w:cs="Arial"/>
          <w:spacing w:val="-1"/>
          <w:lang w:val="en-GB"/>
        </w:rPr>
        <w:t xml:space="preserve"> </w:t>
      </w:r>
      <w:r w:rsidRPr="006941E3">
        <w:rPr>
          <w:rFonts w:ascii="Arial" w:eastAsia="Arial" w:hAnsi="Arial" w:cs="Arial"/>
          <w:b/>
          <w:bCs/>
          <w:lang w:val="en-GB"/>
        </w:rPr>
        <w:t>(AC 2.1)</w:t>
      </w:r>
    </w:p>
    <w:p w14:paraId="4D9DC58D" w14:textId="38B086F8" w:rsidR="00663EAF" w:rsidRDefault="00663EAF" w:rsidP="00663EAF">
      <w:pPr>
        <w:spacing w:line="360" w:lineRule="auto"/>
      </w:pPr>
    </w:p>
    <w:p w14:paraId="67369C47" w14:textId="58591EFE" w:rsidR="00663EAF" w:rsidRDefault="00663EAF" w:rsidP="00663EAF">
      <w:pPr>
        <w:spacing w:line="360" w:lineRule="auto"/>
        <w:jc w:val="center"/>
      </w:pPr>
      <w:r>
        <w:object w:dxaOrig="9605" w:dyaOrig="5393" w14:anchorId="61DC48FB">
          <v:shape id="_x0000_i1030" type="#_x0000_t75" style="width:5in;height:202.1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0" DrawAspect="Content" ObjectID="_1717839524" r:id="rId17"/>
        </w:object>
      </w:r>
    </w:p>
    <w:p w14:paraId="6E06CC37" w14:textId="7FD59898" w:rsidR="00663EAF" w:rsidRDefault="00663EAF" w:rsidP="00663EAF">
      <w:pPr>
        <w:spacing w:line="360" w:lineRule="auto"/>
        <w:jc w:val="center"/>
      </w:pPr>
    </w:p>
    <w:p w14:paraId="4FF6D69B" w14:textId="5DCAD7D6" w:rsidR="00663EAF" w:rsidRPr="00326FEF" w:rsidRDefault="00663EAF" w:rsidP="00326FEF">
      <w:pPr>
        <w:autoSpaceDE w:val="0"/>
        <w:autoSpaceDN w:val="0"/>
        <w:adjustRightInd w:val="0"/>
        <w:spacing w:after="0" w:line="360" w:lineRule="auto"/>
        <w:rPr>
          <w:rFonts w:ascii="Calibri" w:eastAsia="Times New Roman" w:hAnsi="Times New Roman" w:cs="Calibri"/>
          <w:kern w:val="24"/>
          <w:sz w:val="24"/>
          <w:szCs w:val="24"/>
          <w:lang w:val="en-GB"/>
        </w:rPr>
      </w:pPr>
      <w:r>
        <w:rPr>
          <w:rFonts w:ascii="Calibri" w:eastAsia="Times New Roman" w:hAnsi="Times New Roman" w:cs="Calibri"/>
          <w:kern w:val="24"/>
          <w:sz w:val="24"/>
          <w:szCs w:val="24"/>
          <w:lang w:val="en-GB"/>
        </w:rPr>
        <w:t xml:space="preserve">In the organisational setting, there are different types of stakeholders involved in decision making. The internal consumers are the workers who influence organisational operations through partnership or employment. Companies must assess the needs of these customers because they directly influence business operations (Yang, Yang &amp; Zhao, 2022). For example, employees play a critical role in corporate performance. Therefore, the management must create an engaging environment which creates value to enhance performance. The external stakeholders may include the people who buy products and services from the firm. These stakeholders are essential because they are responsible for ensuring business continuity and success (Yang, Yang &amp; Zhao, 2022). Other stakeholders may include suppliers and clients. Influencing is essential for these stakeholders because it creates a high-level overview through strategic human resources knowledge to meet the arising organisational needs (Yang, Yang &amp; Zhao, 2022). Human resource knowledge and expertise are essential in influencing the decisions made in managing the stakeholders. Creating value for these stakeholders is essential for encouraging effective decisions because it encourages communication and information exchange. </w:t>
      </w:r>
    </w:p>
    <w:p w14:paraId="014249DC" w14:textId="7BA5910A" w:rsidR="00663EAF" w:rsidRPr="006941E3" w:rsidRDefault="006941E3" w:rsidP="006941E3">
      <w:pPr>
        <w:widowControl w:val="0"/>
        <w:numPr>
          <w:ilvl w:val="0"/>
          <w:numId w:val="1"/>
        </w:numPr>
        <w:tabs>
          <w:tab w:val="left" w:pos="1234"/>
        </w:tabs>
        <w:autoSpaceDE w:val="0"/>
        <w:autoSpaceDN w:val="0"/>
        <w:spacing w:before="156" w:after="0" w:line="264" w:lineRule="auto"/>
        <w:ind w:right="629"/>
        <w:rPr>
          <w:rFonts w:ascii="Wingdings" w:eastAsia="Arial" w:hAnsi="Wingdings" w:cs="Arial"/>
          <w:color w:val="520D5D"/>
          <w:lang w:val="en-GB"/>
        </w:rPr>
      </w:pPr>
      <w:r w:rsidRPr="006941E3">
        <w:rPr>
          <w:rFonts w:ascii="Arial" w:eastAsia="Arial" w:hAnsi="Arial" w:cs="Arial"/>
          <w:lang w:val="en-GB"/>
        </w:rPr>
        <w:lastRenderedPageBreak/>
        <w:t>explain what is meant by creating value as a people professional, and identify benefits of</w:t>
      </w:r>
      <w:r w:rsidRPr="006941E3">
        <w:rPr>
          <w:rFonts w:ascii="Arial" w:eastAsia="Arial" w:hAnsi="Arial" w:cs="Arial"/>
          <w:spacing w:val="-59"/>
          <w:lang w:val="en-GB"/>
        </w:rPr>
        <w:t xml:space="preserve"> </w:t>
      </w:r>
      <w:r w:rsidR="00EF7CA8">
        <w:rPr>
          <w:rFonts w:ascii="Arial" w:eastAsia="Arial" w:hAnsi="Arial" w:cs="Arial"/>
          <w:spacing w:val="-59"/>
          <w:lang w:val="en-GB"/>
        </w:rPr>
        <w:t xml:space="preserve">   </w:t>
      </w:r>
      <w:r w:rsidRPr="006941E3">
        <w:rPr>
          <w:rFonts w:ascii="Arial" w:eastAsia="Arial" w:hAnsi="Arial" w:cs="Arial"/>
          <w:lang w:val="en-GB"/>
        </w:rPr>
        <w:t>providing</w:t>
      </w:r>
      <w:r w:rsidRPr="006941E3">
        <w:rPr>
          <w:rFonts w:ascii="Arial" w:eastAsia="Arial" w:hAnsi="Arial" w:cs="Arial"/>
          <w:spacing w:val="-1"/>
          <w:lang w:val="en-GB"/>
        </w:rPr>
        <w:t xml:space="preserve"> </w:t>
      </w:r>
      <w:r w:rsidRPr="006941E3">
        <w:rPr>
          <w:rFonts w:ascii="Arial" w:eastAsia="Arial" w:hAnsi="Arial" w:cs="Arial"/>
          <w:lang w:val="en-GB"/>
        </w:rPr>
        <w:t>value to</w:t>
      </w:r>
      <w:r w:rsidRPr="006941E3">
        <w:rPr>
          <w:rFonts w:ascii="Arial" w:eastAsia="Arial" w:hAnsi="Arial" w:cs="Arial"/>
          <w:spacing w:val="-2"/>
          <w:lang w:val="en-GB"/>
        </w:rPr>
        <w:t xml:space="preserve"> </w:t>
      </w:r>
      <w:r w:rsidRPr="006941E3">
        <w:rPr>
          <w:rFonts w:ascii="Arial" w:eastAsia="Arial" w:hAnsi="Arial" w:cs="Arial"/>
          <w:lang w:val="en-GB"/>
        </w:rPr>
        <w:t>customers and</w:t>
      </w:r>
      <w:r w:rsidRPr="006941E3">
        <w:rPr>
          <w:rFonts w:ascii="Arial" w:eastAsia="Arial" w:hAnsi="Arial" w:cs="Arial"/>
          <w:spacing w:val="-2"/>
          <w:lang w:val="en-GB"/>
        </w:rPr>
        <w:t xml:space="preserve"> </w:t>
      </w:r>
      <w:r w:rsidRPr="006941E3">
        <w:rPr>
          <w:rFonts w:ascii="Arial" w:eastAsia="Arial" w:hAnsi="Arial" w:cs="Arial"/>
          <w:lang w:val="en-GB"/>
        </w:rPr>
        <w:t>stakeholders</w:t>
      </w:r>
      <w:r w:rsidRPr="006941E3">
        <w:rPr>
          <w:rFonts w:ascii="Arial" w:eastAsia="Arial" w:hAnsi="Arial" w:cs="Arial"/>
          <w:spacing w:val="-1"/>
          <w:lang w:val="en-GB"/>
        </w:rPr>
        <w:t xml:space="preserve"> </w:t>
      </w:r>
      <w:r w:rsidRPr="006941E3">
        <w:rPr>
          <w:rFonts w:ascii="Arial" w:eastAsia="Arial" w:hAnsi="Arial" w:cs="Arial"/>
          <w:b/>
          <w:bCs/>
          <w:lang w:val="en-GB"/>
        </w:rPr>
        <w:t>(AC 2.2)</w:t>
      </w:r>
    </w:p>
    <w:p w14:paraId="6EE7C384" w14:textId="4C4487C7" w:rsidR="00663EAF" w:rsidRDefault="00663EAF" w:rsidP="00663EAF">
      <w:pPr>
        <w:spacing w:line="360" w:lineRule="auto"/>
      </w:pPr>
    </w:p>
    <w:p w14:paraId="7C19BBA0" w14:textId="02792D23" w:rsidR="00663EAF" w:rsidRDefault="00663EAF" w:rsidP="00663EAF">
      <w:pPr>
        <w:spacing w:line="360" w:lineRule="auto"/>
        <w:jc w:val="center"/>
      </w:pPr>
      <w:r>
        <w:object w:dxaOrig="9605" w:dyaOrig="5393" w14:anchorId="25A472ED">
          <v:shape id="_x0000_i1031" type="#_x0000_t75" style="width:5in;height:202.1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1" DrawAspect="Content" ObjectID="_1717839525" r:id="rId19"/>
        </w:object>
      </w:r>
    </w:p>
    <w:p w14:paraId="7DC53B27" w14:textId="127B4427" w:rsidR="00663EAF" w:rsidRDefault="00663EAF" w:rsidP="00663EAF">
      <w:pPr>
        <w:spacing w:line="360" w:lineRule="auto"/>
        <w:jc w:val="center"/>
      </w:pPr>
    </w:p>
    <w:p w14:paraId="37324AFA" w14:textId="77777777" w:rsidR="00663EAF" w:rsidRDefault="00663EAF" w:rsidP="00661468">
      <w:pPr>
        <w:autoSpaceDE w:val="0"/>
        <w:autoSpaceDN w:val="0"/>
        <w:adjustRightInd w:val="0"/>
        <w:spacing w:after="0" w:line="360" w:lineRule="auto"/>
        <w:rPr>
          <w:rFonts w:ascii="Calibri" w:eastAsia="Times New Roman" w:hAnsi="Times New Roman" w:cs="Calibri"/>
          <w:kern w:val="24"/>
          <w:sz w:val="24"/>
          <w:szCs w:val="24"/>
        </w:rPr>
      </w:pPr>
      <w:r>
        <w:rPr>
          <w:rFonts w:ascii="Calibri" w:eastAsia="Times New Roman" w:hAnsi="Times New Roman" w:cs="Calibri"/>
          <w:kern w:val="24"/>
          <w:sz w:val="24"/>
          <w:szCs w:val="24"/>
          <w:lang w:val="en-GB"/>
        </w:rPr>
        <w:t xml:space="preserve">Value creation is an essential skill which enhances the relationships between the organisation and the core stakeholders, including the customers and employees (North &amp; </w:t>
      </w:r>
      <w:proofErr w:type="spellStart"/>
      <w:r>
        <w:rPr>
          <w:rFonts w:ascii="Calibri" w:eastAsia="Times New Roman" w:hAnsi="Times New Roman" w:cs="Calibri"/>
          <w:kern w:val="24"/>
          <w:sz w:val="24"/>
          <w:szCs w:val="24"/>
          <w:lang w:val="en-GB"/>
        </w:rPr>
        <w:t>Kumta</w:t>
      </w:r>
      <w:proofErr w:type="spellEnd"/>
      <w:r>
        <w:rPr>
          <w:rFonts w:ascii="Calibri" w:eastAsia="Times New Roman" w:hAnsi="Times New Roman" w:cs="Calibri"/>
          <w:kern w:val="24"/>
          <w:sz w:val="24"/>
          <w:szCs w:val="24"/>
          <w:lang w:val="en-GB"/>
        </w:rPr>
        <w:t xml:space="preserve">, 2018). People professionals must exhibit high-level knowledge and expertise informed by evidence based practice in informing their decisions. Value creation is interpreted differently depending on the types of stakeholders in the context. For example, assuring the employees about receiving bonuses is one of the ways which may inform value creation (North &amp; </w:t>
      </w:r>
      <w:proofErr w:type="spellStart"/>
      <w:r>
        <w:rPr>
          <w:rFonts w:ascii="Calibri" w:eastAsia="Times New Roman" w:hAnsi="Times New Roman" w:cs="Calibri"/>
          <w:kern w:val="24"/>
          <w:sz w:val="24"/>
          <w:szCs w:val="24"/>
          <w:lang w:val="en-GB"/>
        </w:rPr>
        <w:t>Kumta</w:t>
      </w:r>
      <w:proofErr w:type="spellEnd"/>
      <w:r>
        <w:rPr>
          <w:rFonts w:ascii="Calibri" w:eastAsia="Times New Roman" w:hAnsi="Times New Roman" w:cs="Calibri"/>
          <w:kern w:val="24"/>
          <w:sz w:val="24"/>
          <w:szCs w:val="24"/>
          <w:lang w:val="en-GB"/>
        </w:rPr>
        <w:t xml:space="preserve">, 2018). From another dimension, people professionals can create value for the community by focusing on sustainable development initiatives. These goals are accomplished through strategic human capital allocation, following the underlying regulations and focusing more on the needs of the internal and external stakeholders and providing a foundation for achieving business continuity. </w:t>
      </w:r>
    </w:p>
    <w:p w14:paraId="1F732F11" w14:textId="77777777" w:rsidR="00663EAF" w:rsidRDefault="00663EAF" w:rsidP="00663EAF">
      <w:pPr>
        <w:autoSpaceDE w:val="0"/>
        <w:autoSpaceDN w:val="0"/>
        <w:adjustRightInd w:val="0"/>
        <w:spacing w:after="0" w:line="240" w:lineRule="auto"/>
        <w:rPr>
          <w:rFonts w:ascii="Arial" w:hAnsi="Arial" w:cs="Arial"/>
          <w:sz w:val="24"/>
          <w:szCs w:val="24"/>
        </w:rPr>
      </w:pPr>
    </w:p>
    <w:p w14:paraId="1DF255D3" w14:textId="20E15547" w:rsidR="00663EAF" w:rsidRDefault="00663EAF" w:rsidP="00663EAF">
      <w:pPr>
        <w:spacing w:line="360" w:lineRule="auto"/>
      </w:pPr>
    </w:p>
    <w:p w14:paraId="7F913DCF" w14:textId="01FD372C" w:rsidR="00663EAF" w:rsidRDefault="00663EAF">
      <w:r>
        <w:br w:type="page"/>
      </w:r>
    </w:p>
    <w:p w14:paraId="6A3A47F5" w14:textId="14424F1A" w:rsidR="00663EAF" w:rsidRPr="006941E3" w:rsidRDefault="006941E3" w:rsidP="006941E3">
      <w:pPr>
        <w:widowControl w:val="0"/>
        <w:numPr>
          <w:ilvl w:val="0"/>
          <w:numId w:val="1"/>
        </w:numPr>
        <w:tabs>
          <w:tab w:val="left" w:pos="1234"/>
        </w:tabs>
        <w:autoSpaceDE w:val="0"/>
        <w:autoSpaceDN w:val="0"/>
        <w:spacing w:before="154" w:after="0" w:line="264" w:lineRule="auto"/>
        <w:ind w:right="581"/>
        <w:rPr>
          <w:rFonts w:ascii="Wingdings" w:eastAsia="Arial" w:hAnsi="Wingdings" w:cs="Arial"/>
          <w:color w:val="520D5D"/>
          <w:lang w:val="en-GB"/>
        </w:rPr>
      </w:pPr>
      <w:r w:rsidRPr="006941E3">
        <w:rPr>
          <w:rFonts w:ascii="Arial" w:eastAsia="Arial" w:hAnsi="Arial" w:cs="Arial"/>
          <w:lang w:val="en-GB"/>
        </w:rPr>
        <w:lastRenderedPageBreak/>
        <w:t>drawing on good practice examples, explain how the work that people professionals</w:t>
      </w:r>
      <w:r w:rsidRPr="006941E3">
        <w:rPr>
          <w:rFonts w:ascii="Arial" w:eastAsia="Arial" w:hAnsi="Arial" w:cs="Arial"/>
          <w:spacing w:val="1"/>
          <w:lang w:val="en-GB"/>
        </w:rPr>
        <w:t xml:space="preserve"> </w:t>
      </w:r>
      <w:r w:rsidRPr="006941E3">
        <w:rPr>
          <w:rFonts w:ascii="Arial" w:eastAsia="Arial" w:hAnsi="Arial" w:cs="Arial"/>
          <w:lang w:val="en-GB"/>
        </w:rPr>
        <w:t>perform benefits others within an organisation in supporting good practice, open cultures,</w:t>
      </w:r>
      <w:r w:rsidRPr="006941E3">
        <w:rPr>
          <w:rFonts w:ascii="Arial" w:eastAsia="Arial" w:hAnsi="Arial" w:cs="Arial"/>
          <w:spacing w:val="-59"/>
          <w:lang w:val="en-GB"/>
        </w:rPr>
        <w:t xml:space="preserve"> </w:t>
      </w:r>
      <w:r w:rsidRPr="006941E3">
        <w:rPr>
          <w:rFonts w:ascii="Arial" w:eastAsia="Arial" w:hAnsi="Arial" w:cs="Arial"/>
          <w:lang w:val="en-GB"/>
        </w:rPr>
        <w:t>commitment</w:t>
      </w:r>
      <w:r w:rsidRPr="006941E3">
        <w:rPr>
          <w:rFonts w:ascii="Arial" w:eastAsia="Arial" w:hAnsi="Arial" w:cs="Arial"/>
          <w:spacing w:val="1"/>
          <w:lang w:val="en-GB"/>
        </w:rPr>
        <w:t xml:space="preserve"> </w:t>
      </w:r>
      <w:r w:rsidRPr="006941E3">
        <w:rPr>
          <w:rFonts w:ascii="Arial" w:eastAsia="Arial" w:hAnsi="Arial" w:cs="Arial"/>
          <w:lang w:val="en-GB"/>
        </w:rPr>
        <w:t>and</w:t>
      </w:r>
      <w:r w:rsidRPr="006941E3">
        <w:rPr>
          <w:rFonts w:ascii="Arial" w:eastAsia="Arial" w:hAnsi="Arial" w:cs="Arial"/>
          <w:spacing w:val="-2"/>
          <w:lang w:val="en-GB"/>
        </w:rPr>
        <w:t xml:space="preserve"> </w:t>
      </w:r>
      <w:r w:rsidRPr="006941E3">
        <w:rPr>
          <w:rFonts w:ascii="Arial" w:eastAsia="Arial" w:hAnsi="Arial" w:cs="Arial"/>
          <w:lang w:val="en-GB"/>
        </w:rPr>
        <w:t>engagement.</w:t>
      </w:r>
      <w:r w:rsidRPr="006941E3">
        <w:rPr>
          <w:rFonts w:ascii="Arial" w:eastAsia="Arial" w:hAnsi="Arial" w:cs="Arial"/>
          <w:spacing w:val="-1"/>
          <w:lang w:val="en-GB"/>
        </w:rPr>
        <w:t xml:space="preserve"> </w:t>
      </w:r>
      <w:r w:rsidRPr="006941E3">
        <w:rPr>
          <w:rFonts w:ascii="Arial" w:eastAsia="Arial" w:hAnsi="Arial" w:cs="Arial"/>
          <w:b/>
          <w:bCs/>
          <w:lang w:val="en-GB"/>
        </w:rPr>
        <w:t>(AC 2.4)</w:t>
      </w:r>
    </w:p>
    <w:p w14:paraId="51078842" w14:textId="29031ED9" w:rsidR="00663EAF" w:rsidRDefault="00663EAF" w:rsidP="00663EAF">
      <w:pPr>
        <w:spacing w:line="360" w:lineRule="auto"/>
      </w:pPr>
    </w:p>
    <w:p w14:paraId="77C3409F" w14:textId="3253D389" w:rsidR="00663EAF" w:rsidRDefault="00663EAF" w:rsidP="00663EAF">
      <w:pPr>
        <w:spacing w:line="360" w:lineRule="auto"/>
        <w:jc w:val="center"/>
      </w:pPr>
      <w:r>
        <w:object w:dxaOrig="9605" w:dyaOrig="5393" w14:anchorId="4943DB10">
          <v:shape id="_x0000_i1032" type="#_x0000_t75" style="width:5in;height:202.1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2" DrawAspect="Content" ObjectID="_1717839526" r:id="rId21"/>
        </w:object>
      </w:r>
    </w:p>
    <w:p w14:paraId="54E6FB1F" w14:textId="1F86700C" w:rsidR="00663EAF" w:rsidRDefault="00663EAF" w:rsidP="00663EAF">
      <w:pPr>
        <w:spacing w:line="360" w:lineRule="auto"/>
        <w:jc w:val="center"/>
      </w:pPr>
    </w:p>
    <w:p w14:paraId="7A82D933" w14:textId="77777777" w:rsidR="00663EAF" w:rsidRDefault="00663EAF" w:rsidP="00661468">
      <w:pPr>
        <w:autoSpaceDE w:val="0"/>
        <w:autoSpaceDN w:val="0"/>
        <w:adjustRightInd w:val="0"/>
        <w:spacing w:after="0" w:line="360" w:lineRule="auto"/>
        <w:rPr>
          <w:rFonts w:ascii="Calibri" w:eastAsia="Times New Roman" w:hAnsi="Times New Roman" w:cs="Calibri"/>
          <w:kern w:val="24"/>
          <w:sz w:val="24"/>
          <w:szCs w:val="24"/>
        </w:rPr>
      </w:pPr>
      <w:r>
        <w:rPr>
          <w:rFonts w:ascii="Calibri" w:eastAsia="Times New Roman" w:hAnsi="Times New Roman" w:cs="Calibri"/>
          <w:kern w:val="24"/>
          <w:sz w:val="24"/>
          <w:szCs w:val="24"/>
          <w:lang w:val="en-GB"/>
        </w:rPr>
        <w:t>People professionals are strategic to the operations of any organisation because they create value and act as the ultimate link between firms and the stakeholders (</w:t>
      </w:r>
      <w:proofErr w:type="spellStart"/>
      <w:r>
        <w:rPr>
          <w:rFonts w:ascii="Calibri" w:eastAsia="Times New Roman" w:hAnsi="Times New Roman" w:cs="Calibri"/>
          <w:kern w:val="24"/>
          <w:sz w:val="24"/>
          <w:szCs w:val="24"/>
          <w:lang w:val="en-GB"/>
        </w:rPr>
        <w:t>Nastase</w:t>
      </w:r>
      <w:proofErr w:type="spellEnd"/>
      <w:r>
        <w:rPr>
          <w:rFonts w:ascii="Calibri" w:eastAsia="Times New Roman" w:hAnsi="Times New Roman" w:cs="Calibri"/>
          <w:kern w:val="24"/>
          <w:sz w:val="24"/>
          <w:szCs w:val="24"/>
          <w:lang w:val="en-GB"/>
        </w:rPr>
        <w:t xml:space="preserve">, </w:t>
      </w:r>
      <w:proofErr w:type="spellStart"/>
      <w:r>
        <w:rPr>
          <w:rFonts w:ascii="Calibri" w:eastAsia="Times New Roman" w:hAnsi="Times New Roman" w:cs="Calibri"/>
          <w:kern w:val="24"/>
          <w:sz w:val="24"/>
          <w:szCs w:val="24"/>
          <w:lang w:val="en-GB"/>
        </w:rPr>
        <w:t>Bibu</w:t>
      </w:r>
      <w:proofErr w:type="spellEnd"/>
      <w:r>
        <w:rPr>
          <w:rFonts w:ascii="Calibri" w:eastAsia="Times New Roman" w:hAnsi="Times New Roman" w:cs="Calibri"/>
          <w:kern w:val="24"/>
          <w:sz w:val="24"/>
          <w:szCs w:val="24"/>
          <w:lang w:val="en-GB"/>
        </w:rPr>
        <w:t xml:space="preserve">, Munteanu, </w:t>
      </w:r>
      <w:proofErr w:type="spellStart"/>
      <w:r>
        <w:rPr>
          <w:rFonts w:ascii="Calibri" w:eastAsia="Times New Roman" w:hAnsi="Times New Roman" w:cs="Calibri"/>
          <w:kern w:val="24"/>
          <w:sz w:val="24"/>
          <w:szCs w:val="24"/>
          <w:lang w:val="en-GB"/>
        </w:rPr>
        <w:t>Mircioi</w:t>
      </w:r>
      <w:proofErr w:type="spellEnd"/>
      <w:r>
        <w:rPr>
          <w:rFonts w:ascii="Calibri" w:eastAsia="Times New Roman" w:hAnsi="Times New Roman" w:cs="Calibri"/>
          <w:kern w:val="24"/>
          <w:sz w:val="24"/>
          <w:szCs w:val="24"/>
          <w:lang w:val="en-GB"/>
        </w:rPr>
        <w:t xml:space="preserve"> &amp; </w:t>
      </w:r>
      <w:proofErr w:type="spellStart"/>
      <w:r>
        <w:rPr>
          <w:rFonts w:ascii="Calibri" w:eastAsia="Times New Roman" w:hAnsi="Times New Roman" w:cs="Calibri"/>
          <w:kern w:val="24"/>
          <w:sz w:val="24"/>
          <w:szCs w:val="24"/>
          <w:lang w:val="en-GB"/>
        </w:rPr>
        <w:t>Florescu</w:t>
      </w:r>
      <w:proofErr w:type="spellEnd"/>
      <w:r>
        <w:rPr>
          <w:rFonts w:ascii="Calibri" w:eastAsia="Times New Roman" w:hAnsi="Times New Roman" w:cs="Calibri"/>
          <w:kern w:val="24"/>
          <w:sz w:val="24"/>
          <w:szCs w:val="24"/>
          <w:lang w:val="en-GB"/>
        </w:rPr>
        <w:t>, 2019). From an employment dimension, people professionals benefit employees by providing strategic information and resources which promote diversity, inclusion and engagement in the workplace decisions (</w:t>
      </w:r>
      <w:proofErr w:type="spellStart"/>
      <w:r>
        <w:rPr>
          <w:rFonts w:ascii="Calibri" w:eastAsia="Times New Roman" w:hAnsi="Times New Roman" w:cs="Calibri"/>
          <w:kern w:val="24"/>
          <w:sz w:val="24"/>
          <w:szCs w:val="24"/>
          <w:lang w:val="en-GB"/>
        </w:rPr>
        <w:t>Nastase</w:t>
      </w:r>
      <w:proofErr w:type="spellEnd"/>
      <w:r>
        <w:rPr>
          <w:rFonts w:ascii="Calibri" w:eastAsia="Times New Roman" w:hAnsi="Times New Roman" w:cs="Calibri"/>
          <w:kern w:val="24"/>
          <w:sz w:val="24"/>
          <w:szCs w:val="24"/>
          <w:lang w:val="en-GB"/>
        </w:rPr>
        <w:t xml:space="preserve">, </w:t>
      </w:r>
      <w:proofErr w:type="spellStart"/>
      <w:r>
        <w:rPr>
          <w:rFonts w:ascii="Calibri" w:eastAsia="Times New Roman" w:hAnsi="Times New Roman" w:cs="Calibri"/>
          <w:kern w:val="24"/>
          <w:sz w:val="24"/>
          <w:szCs w:val="24"/>
          <w:lang w:val="en-GB"/>
        </w:rPr>
        <w:t>Bibu</w:t>
      </w:r>
      <w:proofErr w:type="spellEnd"/>
      <w:r>
        <w:rPr>
          <w:rFonts w:ascii="Calibri" w:eastAsia="Times New Roman" w:hAnsi="Times New Roman" w:cs="Calibri"/>
          <w:kern w:val="24"/>
          <w:sz w:val="24"/>
          <w:szCs w:val="24"/>
          <w:lang w:val="en-GB"/>
        </w:rPr>
        <w:t xml:space="preserve">, Munteanu, </w:t>
      </w:r>
      <w:proofErr w:type="spellStart"/>
      <w:r>
        <w:rPr>
          <w:rFonts w:ascii="Calibri" w:eastAsia="Times New Roman" w:hAnsi="Times New Roman" w:cs="Calibri"/>
          <w:kern w:val="24"/>
          <w:sz w:val="24"/>
          <w:szCs w:val="24"/>
          <w:lang w:val="en-GB"/>
        </w:rPr>
        <w:t>Mircioi</w:t>
      </w:r>
      <w:proofErr w:type="spellEnd"/>
      <w:r>
        <w:rPr>
          <w:rFonts w:ascii="Calibri" w:eastAsia="Times New Roman" w:hAnsi="Times New Roman" w:cs="Calibri"/>
          <w:kern w:val="24"/>
          <w:sz w:val="24"/>
          <w:szCs w:val="24"/>
          <w:lang w:val="en-GB"/>
        </w:rPr>
        <w:t xml:space="preserve"> &amp; </w:t>
      </w:r>
      <w:proofErr w:type="spellStart"/>
      <w:r>
        <w:rPr>
          <w:rFonts w:ascii="Calibri" w:eastAsia="Times New Roman" w:hAnsi="Times New Roman" w:cs="Calibri"/>
          <w:kern w:val="24"/>
          <w:sz w:val="24"/>
          <w:szCs w:val="24"/>
          <w:lang w:val="en-GB"/>
        </w:rPr>
        <w:t>Florescu</w:t>
      </w:r>
      <w:proofErr w:type="spellEnd"/>
      <w:r>
        <w:rPr>
          <w:rFonts w:ascii="Calibri" w:eastAsia="Times New Roman" w:hAnsi="Times New Roman" w:cs="Calibri"/>
          <w:kern w:val="24"/>
          <w:sz w:val="24"/>
          <w:szCs w:val="24"/>
          <w:lang w:val="en-GB"/>
        </w:rPr>
        <w:t>, 2019). Also, people professionals are a critical knowledge source which benefits the management teams in informing their decisions. Since people professionals exhibit strategic skills, they are essential leaders who have sufficient knowledge and expertise to inform positive decisions (</w:t>
      </w:r>
      <w:proofErr w:type="spellStart"/>
      <w:r>
        <w:rPr>
          <w:rFonts w:ascii="Calibri" w:eastAsia="Times New Roman" w:hAnsi="Times New Roman" w:cs="Calibri"/>
          <w:kern w:val="24"/>
          <w:sz w:val="24"/>
          <w:szCs w:val="24"/>
          <w:lang w:val="en-GB"/>
        </w:rPr>
        <w:t>Nastase</w:t>
      </w:r>
      <w:proofErr w:type="spellEnd"/>
      <w:r>
        <w:rPr>
          <w:rFonts w:ascii="Calibri" w:eastAsia="Times New Roman" w:hAnsi="Times New Roman" w:cs="Calibri"/>
          <w:kern w:val="24"/>
          <w:sz w:val="24"/>
          <w:szCs w:val="24"/>
          <w:lang w:val="en-GB"/>
        </w:rPr>
        <w:t xml:space="preserve">, </w:t>
      </w:r>
      <w:proofErr w:type="spellStart"/>
      <w:r>
        <w:rPr>
          <w:rFonts w:ascii="Calibri" w:eastAsia="Times New Roman" w:hAnsi="Times New Roman" w:cs="Calibri"/>
          <w:kern w:val="24"/>
          <w:sz w:val="24"/>
          <w:szCs w:val="24"/>
          <w:lang w:val="en-GB"/>
        </w:rPr>
        <w:t>Bibu</w:t>
      </w:r>
      <w:proofErr w:type="spellEnd"/>
      <w:r>
        <w:rPr>
          <w:rFonts w:ascii="Calibri" w:eastAsia="Times New Roman" w:hAnsi="Times New Roman" w:cs="Calibri"/>
          <w:kern w:val="24"/>
          <w:sz w:val="24"/>
          <w:szCs w:val="24"/>
          <w:lang w:val="en-GB"/>
        </w:rPr>
        <w:t xml:space="preserve">, Munteanu, </w:t>
      </w:r>
      <w:proofErr w:type="spellStart"/>
      <w:r>
        <w:rPr>
          <w:rFonts w:ascii="Calibri" w:eastAsia="Times New Roman" w:hAnsi="Times New Roman" w:cs="Calibri"/>
          <w:kern w:val="24"/>
          <w:sz w:val="24"/>
          <w:szCs w:val="24"/>
          <w:lang w:val="en-GB"/>
        </w:rPr>
        <w:t>Mircioi</w:t>
      </w:r>
      <w:proofErr w:type="spellEnd"/>
      <w:r>
        <w:rPr>
          <w:rFonts w:ascii="Calibri" w:eastAsia="Times New Roman" w:hAnsi="Times New Roman" w:cs="Calibri"/>
          <w:kern w:val="24"/>
          <w:sz w:val="24"/>
          <w:szCs w:val="24"/>
          <w:lang w:val="en-GB"/>
        </w:rPr>
        <w:t xml:space="preserve"> &amp; </w:t>
      </w:r>
      <w:proofErr w:type="spellStart"/>
      <w:r>
        <w:rPr>
          <w:rFonts w:ascii="Calibri" w:eastAsia="Times New Roman" w:hAnsi="Times New Roman" w:cs="Calibri"/>
          <w:kern w:val="24"/>
          <w:sz w:val="24"/>
          <w:szCs w:val="24"/>
          <w:lang w:val="en-GB"/>
        </w:rPr>
        <w:t>Florescu</w:t>
      </w:r>
      <w:proofErr w:type="spellEnd"/>
      <w:r>
        <w:rPr>
          <w:rFonts w:ascii="Calibri" w:eastAsia="Times New Roman" w:hAnsi="Times New Roman" w:cs="Calibri"/>
          <w:kern w:val="24"/>
          <w:sz w:val="24"/>
          <w:szCs w:val="24"/>
          <w:lang w:val="en-GB"/>
        </w:rPr>
        <w:t xml:space="preserve">, 2019). Similarly, the strategic position that people professionals hold in the organisation allows them to develop standards which govern behaviour and the overall culture. The resulting culture is informed by professionalism, commitment and engagement. </w:t>
      </w:r>
    </w:p>
    <w:p w14:paraId="08D37C6E" w14:textId="77777777" w:rsidR="00663EAF" w:rsidRDefault="00663EAF" w:rsidP="00663EAF">
      <w:pPr>
        <w:autoSpaceDE w:val="0"/>
        <w:autoSpaceDN w:val="0"/>
        <w:adjustRightInd w:val="0"/>
        <w:spacing w:after="0" w:line="240" w:lineRule="auto"/>
        <w:rPr>
          <w:rFonts w:ascii="Arial" w:hAnsi="Arial" w:cs="Arial"/>
          <w:sz w:val="24"/>
          <w:szCs w:val="24"/>
        </w:rPr>
      </w:pPr>
    </w:p>
    <w:p w14:paraId="03853AEE" w14:textId="34594807" w:rsidR="00663EAF" w:rsidRDefault="00663EAF" w:rsidP="00663EAF">
      <w:pPr>
        <w:spacing w:line="360" w:lineRule="auto"/>
      </w:pPr>
    </w:p>
    <w:p w14:paraId="602CF3A2" w14:textId="378B6572" w:rsidR="00663EAF" w:rsidRDefault="00663EAF">
      <w:r>
        <w:br w:type="page"/>
      </w:r>
    </w:p>
    <w:p w14:paraId="79BF86D9" w14:textId="0FDE6B70" w:rsidR="00663EAF" w:rsidRPr="006941E3" w:rsidRDefault="006941E3" w:rsidP="006941E3">
      <w:pPr>
        <w:pStyle w:val="ListParagraph"/>
        <w:numPr>
          <w:ilvl w:val="0"/>
          <w:numId w:val="1"/>
        </w:numPr>
        <w:tabs>
          <w:tab w:val="left" w:pos="1234"/>
        </w:tabs>
        <w:spacing w:before="153" w:line="264" w:lineRule="auto"/>
        <w:ind w:right="557"/>
        <w:rPr>
          <w:rFonts w:ascii="Wingdings" w:hAnsi="Wingdings"/>
          <w:color w:val="520D5D"/>
        </w:rPr>
      </w:pPr>
      <w:r>
        <w:lastRenderedPageBreak/>
        <w:t>explain how social media can be used internally and externally in workplaces to improve</w:t>
      </w:r>
      <w:r>
        <w:rPr>
          <w:spacing w:val="1"/>
        </w:rPr>
        <w:t xml:space="preserve"> </w:t>
      </w:r>
      <w:r>
        <w:t>communication</w:t>
      </w:r>
      <w:r>
        <w:rPr>
          <w:spacing w:val="-2"/>
        </w:rPr>
        <w:t xml:space="preserve"> </w:t>
      </w:r>
      <w:r>
        <w:t>and</w:t>
      </w:r>
      <w:r>
        <w:rPr>
          <w:spacing w:val="-4"/>
        </w:rPr>
        <w:t xml:space="preserve"> </w:t>
      </w:r>
      <w:r>
        <w:t>organisational</w:t>
      </w:r>
      <w:r>
        <w:rPr>
          <w:spacing w:val="-2"/>
        </w:rPr>
        <w:t xml:space="preserve"> </w:t>
      </w:r>
      <w:r>
        <w:t>practices, highlighting the</w:t>
      </w:r>
      <w:r>
        <w:rPr>
          <w:spacing w:val="-4"/>
        </w:rPr>
        <w:t xml:space="preserve"> </w:t>
      </w:r>
      <w:r>
        <w:t>risks in</w:t>
      </w:r>
      <w:r>
        <w:rPr>
          <w:spacing w:val="-2"/>
        </w:rPr>
        <w:t xml:space="preserve"> </w:t>
      </w:r>
      <w:r>
        <w:t>a</w:t>
      </w:r>
      <w:r>
        <w:rPr>
          <w:spacing w:val="-3"/>
        </w:rPr>
        <w:t xml:space="preserve"> </w:t>
      </w:r>
      <w:r>
        <w:t>work</w:t>
      </w:r>
      <w:r>
        <w:rPr>
          <w:spacing w:val="-1"/>
        </w:rPr>
        <w:t xml:space="preserve"> </w:t>
      </w:r>
      <w:r>
        <w:t>context.</w:t>
      </w:r>
      <w:r>
        <w:rPr>
          <w:spacing w:val="-2"/>
        </w:rPr>
        <w:t xml:space="preserve"> </w:t>
      </w:r>
      <w:r>
        <w:rPr>
          <w:b/>
          <w:bCs/>
        </w:rPr>
        <w:t>(AC 2.3)</w:t>
      </w:r>
    </w:p>
    <w:p w14:paraId="2FA5D001" w14:textId="07298292" w:rsidR="00663EAF" w:rsidRDefault="00663EAF" w:rsidP="00663EAF">
      <w:pPr>
        <w:spacing w:line="360" w:lineRule="auto"/>
      </w:pPr>
    </w:p>
    <w:p w14:paraId="5E82C419" w14:textId="1A49CDE2" w:rsidR="00663EAF" w:rsidRDefault="00663EAF" w:rsidP="00663EAF">
      <w:pPr>
        <w:spacing w:line="360" w:lineRule="auto"/>
        <w:jc w:val="center"/>
      </w:pPr>
      <w:r>
        <w:object w:dxaOrig="9605" w:dyaOrig="5393" w14:anchorId="097C58D5">
          <v:shape id="_x0000_i1033" type="#_x0000_t75" style="width:5in;height:202.1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3" DrawAspect="Content" ObjectID="_1717839527" r:id="rId23"/>
        </w:object>
      </w:r>
    </w:p>
    <w:p w14:paraId="1C6C1CA3" w14:textId="7A936244" w:rsidR="00663EAF" w:rsidRDefault="00663EAF" w:rsidP="00663EAF">
      <w:pPr>
        <w:spacing w:line="360" w:lineRule="auto"/>
        <w:jc w:val="center"/>
      </w:pPr>
    </w:p>
    <w:p w14:paraId="0D22121E" w14:textId="77777777" w:rsidR="00663EAF" w:rsidRDefault="00663EAF" w:rsidP="00661468">
      <w:pPr>
        <w:autoSpaceDE w:val="0"/>
        <w:autoSpaceDN w:val="0"/>
        <w:adjustRightInd w:val="0"/>
        <w:spacing w:after="0" w:line="360" w:lineRule="auto"/>
        <w:rPr>
          <w:rFonts w:ascii="Calibri" w:eastAsia="Times New Roman" w:hAnsi="Times New Roman" w:cs="Calibri"/>
          <w:kern w:val="24"/>
          <w:sz w:val="24"/>
          <w:szCs w:val="24"/>
        </w:rPr>
      </w:pPr>
      <w:r>
        <w:rPr>
          <w:rFonts w:ascii="Calibri" w:eastAsia="Times New Roman" w:hAnsi="Times New Roman" w:cs="Calibri"/>
          <w:kern w:val="24"/>
          <w:sz w:val="24"/>
          <w:szCs w:val="24"/>
          <w:lang w:val="en-GB"/>
        </w:rPr>
        <w:t>Social media can be used internally and externally to inform decisions made by the respective stakeholders (</w:t>
      </w:r>
      <w:proofErr w:type="spellStart"/>
      <w:r>
        <w:rPr>
          <w:rFonts w:ascii="Calibri" w:eastAsia="Times New Roman" w:hAnsi="Times New Roman" w:cs="Calibri"/>
          <w:kern w:val="24"/>
          <w:sz w:val="24"/>
          <w:szCs w:val="24"/>
          <w:lang w:val="en-GB"/>
        </w:rPr>
        <w:t>Vrontis</w:t>
      </w:r>
      <w:proofErr w:type="spellEnd"/>
      <w:r>
        <w:rPr>
          <w:rFonts w:ascii="Calibri" w:eastAsia="Times New Roman" w:hAnsi="Times New Roman" w:cs="Calibri"/>
          <w:kern w:val="24"/>
          <w:sz w:val="24"/>
          <w:szCs w:val="24"/>
          <w:lang w:val="en-GB"/>
        </w:rPr>
        <w:t xml:space="preserve">, </w:t>
      </w:r>
      <w:proofErr w:type="spellStart"/>
      <w:r>
        <w:rPr>
          <w:rFonts w:ascii="Calibri" w:eastAsia="Times New Roman" w:hAnsi="Times New Roman" w:cs="Calibri"/>
          <w:kern w:val="24"/>
          <w:sz w:val="24"/>
          <w:szCs w:val="24"/>
          <w:lang w:val="en-GB"/>
        </w:rPr>
        <w:t>Siachou</w:t>
      </w:r>
      <w:proofErr w:type="spellEnd"/>
      <w:r>
        <w:rPr>
          <w:rFonts w:ascii="Calibri" w:eastAsia="Times New Roman" w:hAnsi="Times New Roman" w:cs="Calibri"/>
          <w:kern w:val="24"/>
          <w:sz w:val="24"/>
          <w:szCs w:val="24"/>
          <w:lang w:val="en-GB"/>
        </w:rPr>
        <w:t xml:space="preserve">, </w:t>
      </w:r>
      <w:proofErr w:type="spellStart"/>
      <w:r>
        <w:rPr>
          <w:rFonts w:ascii="Calibri" w:eastAsia="Times New Roman" w:hAnsi="Times New Roman" w:cs="Calibri"/>
          <w:kern w:val="24"/>
          <w:sz w:val="24"/>
          <w:szCs w:val="24"/>
          <w:lang w:val="en-GB"/>
        </w:rPr>
        <w:t>Sakka</w:t>
      </w:r>
      <w:proofErr w:type="spellEnd"/>
      <w:r>
        <w:rPr>
          <w:rFonts w:ascii="Calibri" w:eastAsia="Times New Roman" w:hAnsi="Times New Roman" w:cs="Calibri"/>
          <w:kern w:val="24"/>
          <w:sz w:val="24"/>
          <w:szCs w:val="24"/>
          <w:lang w:val="en-GB"/>
        </w:rPr>
        <w:t>, Chatterjee, Chaudhuri &amp; Ghosh, 2022). For example, social media may offer open communication channels which favour information exchange in the internal and external environments. Secondly, social media promotes creativity since employees can share unique ideas through collaborations within the internal and external environments. However, social media is not centrally regulated (</w:t>
      </w:r>
      <w:proofErr w:type="spellStart"/>
      <w:r>
        <w:rPr>
          <w:rFonts w:ascii="Calibri" w:eastAsia="Times New Roman" w:hAnsi="Times New Roman" w:cs="Calibri"/>
          <w:kern w:val="24"/>
          <w:sz w:val="24"/>
          <w:szCs w:val="24"/>
          <w:lang w:val="en-GB"/>
        </w:rPr>
        <w:t>Vrontis</w:t>
      </w:r>
      <w:proofErr w:type="spellEnd"/>
      <w:r>
        <w:rPr>
          <w:rFonts w:ascii="Calibri" w:eastAsia="Times New Roman" w:hAnsi="Times New Roman" w:cs="Calibri"/>
          <w:kern w:val="24"/>
          <w:sz w:val="24"/>
          <w:szCs w:val="24"/>
          <w:lang w:val="en-GB"/>
        </w:rPr>
        <w:t xml:space="preserve">, </w:t>
      </w:r>
      <w:proofErr w:type="spellStart"/>
      <w:r>
        <w:rPr>
          <w:rFonts w:ascii="Calibri" w:eastAsia="Times New Roman" w:hAnsi="Times New Roman" w:cs="Calibri"/>
          <w:kern w:val="24"/>
          <w:sz w:val="24"/>
          <w:szCs w:val="24"/>
          <w:lang w:val="en-GB"/>
        </w:rPr>
        <w:t>Siachou</w:t>
      </w:r>
      <w:proofErr w:type="spellEnd"/>
      <w:r>
        <w:rPr>
          <w:rFonts w:ascii="Calibri" w:eastAsia="Times New Roman" w:hAnsi="Times New Roman" w:cs="Calibri"/>
          <w:kern w:val="24"/>
          <w:sz w:val="24"/>
          <w:szCs w:val="24"/>
          <w:lang w:val="en-GB"/>
        </w:rPr>
        <w:t xml:space="preserve">, </w:t>
      </w:r>
      <w:proofErr w:type="spellStart"/>
      <w:r>
        <w:rPr>
          <w:rFonts w:ascii="Calibri" w:eastAsia="Times New Roman" w:hAnsi="Times New Roman" w:cs="Calibri"/>
          <w:kern w:val="24"/>
          <w:sz w:val="24"/>
          <w:szCs w:val="24"/>
          <w:lang w:val="en-GB"/>
        </w:rPr>
        <w:t>Sakka</w:t>
      </w:r>
      <w:proofErr w:type="spellEnd"/>
      <w:r>
        <w:rPr>
          <w:rFonts w:ascii="Calibri" w:eastAsia="Times New Roman" w:hAnsi="Times New Roman" w:cs="Calibri"/>
          <w:kern w:val="24"/>
          <w:sz w:val="24"/>
          <w:szCs w:val="24"/>
          <w:lang w:val="en-GB"/>
        </w:rPr>
        <w:t xml:space="preserve">, Chatterjee, Chaudhuri &amp; Ghosh, 2022). This trend makes it prone to dangers like scamming and cyber stalking, which may undermine productivity. </w:t>
      </w:r>
    </w:p>
    <w:p w14:paraId="6F1DBE52" w14:textId="77777777" w:rsidR="00663EAF" w:rsidRDefault="00663EAF" w:rsidP="00663EAF">
      <w:pPr>
        <w:autoSpaceDE w:val="0"/>
        <w:autoSpaceDN w:val="0"/>
        <w:adjustRightInd w:val="0"/>
        <w:spacing w:after="0" w:line="240" w:lineRule="auto"/>
        <w:rPr>
          <w:rFonts w:ascii="Arial" w:hAnsi="Arial" w:cs="Arial"/>
          <w:sz w:val="24"/>
          <w:szCs w:val="24"/>
        </w:rPr>
      </w:pPr>
    </w:p>
    <w:p w14:paraId="032DCEBB" w14:textId="631B3D2F" w:rsidR="00663EAF" w:rsidRDefault="00663EAF" w:rsidP="00663EAF">
      <w:pPr>
        <w:spacing w:line="360" w:lineRule="auto"/>
      </w:pPr>
    </w:p>
    <w:p w14:paraId="27071568" w14:textId="55CD0EBF" w:rsidR="00663EAF" w:rsidRDefault="00663EAF">
      <w:r>
        <w:br w:type="page"/>
      </w:r>
    </w:p>
    <w:p w14:paraId="5419D148" w14:textId="714FDCEF" w:rsidR="00663EAF" w:rsidRPr="00037C5B" w:rsidRDefault="006941E3" w:rsidP="00037C5B">
      <w:pPr>
        <w:pStyle w:val="ListParagraph"/>
        <w:numPr>
          <w:ilvl w:val="0"/>
          <w:numId w:val="1"/>
        </w:numPr>
        <w:tabs>
          <w:tab w:val="left" w:pos="1234"/>
        </w:tabs>
        <w:spacing w:line="264" w:lineRule="auto"/>
        <w:ind w:right="349"/>
        <w:rPr>
          <w:rFonts w:ascii="Wingdings" w:hAnsi="Wingdings"/>
          <w:color w:val="520D5D"/>
        </w:rPr>
      </w:pPr>
      <w:r>
        <w:lastRenderedPageBreak/>
        <w:t>outline how you can, in your own work or a voluntary role, achieve and maintain a customer</w:t>
      </w:r>
      <w:r>
        <w:rPr>
          <w:spacing w:val="-59"/>
        </w:rPr>
        <w:t xml:space="preserve"> </w:t>
      </w:r>
      <w:r>
        <w:t>focused</w:t>
      </w:r>
      <w:r>
        <w:rPr>
          <w:spacing w:val="-2"/>
        </w:rPr>
        <w:t xml:space="preserve"> </w:t>
      </w:r>
      <w:r>
        <w:t>attitude</w:t>
      </w:r>
      <w:r>
        <w:rPr>
          <w:spacing w:val="-2"/>
        </w:rPr>
        <w:t xml:space="preserve"> </w:t>
      </w:r>
      <w:r>
        <w:t>to ensure</w:t>
      </w:r>
      <w:r>
        <w:rPr>
          <w:spacing w:val="-1"/>
        </w:rPr>
        <w:t xml:space="preserve"> </w:t>
      </w:r>
      <w:r>
        <w:t>consistent</w:t>
      </w:r>
      <w:r>
        <w:rPr>
          <w:spacing w:val="1"/>
        </w:rPr>
        <w:t xml:space="preserve"> </w:t>
      </w:r>
      <w:r>
        <w:t>high</w:t>
      </w:r>
      <w:r>
        <w:rPr>
          <w:spacing w:val="-3"/>
        </w:rPr>
        <w:t xml:space="preserve"> </w:t>
      </w:r>
      <w:r>
        <w:t>standards and</w:t>
      </w:r>
      <w:r>
        <w:rPr>
          <w:spacing w:val="-2"/>
        </w:rPr>
        <w:t xml:space="preserve"> </w:t>
      </w:r>
      <w:r>
        <w:t>customer</w:t>
      </w:r>
      <w:r>
        <w:rPr>
          <w:spacing w:val="-2"/>
        </w:rPr>
        <w:t xml:space="preserve"> </w:t>
      </w:r>
      <w:r>
        <w:t xml:space="preserve">satisfaction. </w:t>
      </w:r>
      <w:r>
        <w:rPr>
          <w:b/>
          <w:bCs/>
        </w:rPr>
        <w:t>(AC 2.5)</w:t>
      </w:r>
    </w:p>
    <w:p w14:paraId="2C781E88" w14:textId="77777777" w:rsidR="00037C5B" w:rsidRPr="00037C5B" w:rsidRDefault="00037C5B" w:rsidP="00037C5B">
      <w:pPr>
        <w:tabs>
          <w:tab w:val="left" w:pos="1234"/>
        </w:tabs>
        <w:spacing w:line="264" w:lineRule="auto"/>
        <w:ind w:right="349"/>
        <w:rPr>
          <w:rFonts w:ascii="Wingdings" w:hAnsi="Wingdings"/>
          <w:color w:val="520D5D"/>
        </w:rPr>
      </w:pPr>
    </w:p>
    <w:p w14:paraId="0811C7A4" w14:textId="77777777" w:rsidR="00037C5B" w:rsidRPr="00037C5B" w:rsidRDefault="00037C5B" w:rsidP="00037C5B">
      <w:pPr>
        <w:pStyle w:val="ListParagraph"/>
        <w:tabs>
          <w:tab w:val="left" w:pos="1234"/>
        </w:tabs>
        <w:spacing w:line="264" w:lineRule="auto"/>
        <w:ind w:right="349" w:firstLine="0"/>
        <w:rPr>
          <w:rFonts w:ascii="Wingdings" w:hAnsi="Wingdings"/>
          <w:color w:val="520D5D"/>
        </w:rPr>
      </w:pPr>
    </w:p>
    <w:p w14:paraId="73AB4EFB" w14:textId="0E01E800" w:rsidR="00856568" w:rsidRDefault="00663EAF" w:rsidP="00856568">
      <w:pPr>
        <w:spacing w:line="360" w:lineRule="auto"/>
        <w:jc w:val="center"/>
      </w:pPr>
      <w:r>
        <w:object w:dxaOrig="9605" w:dyaOrig="5393" w14:anchorId="59784FA2">
          <v:shape id="_x0000_i1034" type="#_x0000_t75" style="width:5in;height:202.1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4" DrawAspect="Content" ObjectID="_1717839528" r:id="rId25"/>
        </w:object>
      </w:r>
    </w:p>
    <w:p w14:paraId="30E008C0" w14:textId="77777777" w:rsidR="00856568" w:rsidRDefault="00856568" w:rsidP="00663EAF">
      <w:pPr>
        <w:spacing w:line="360" w:lineRule="auto"/>
        <w:jc w:val="center"/>
      </w:pPr>
    </w:p>
    <w:p w14:paraId="3D2068CB" w14:textId="49C71E8F" w:rsidR="00663EAF" w:rsidRPr="00326FEF" w:rsidRDefault="00663EAF" w:rsidP="00326FEF">
      <w:pPr>
        <w:autoSpaceDE w:val="0"/>
        <w:autoSpaceDN w:val="0"/>
        <w:adjustRightInd w:val="0"/>
        <w:spacing w:after="0" w:line="360" w:lineRule="auto"/>
        <w:rPr>
          <w:rFonts w:ascii="Calibri" w:eastAsia="Times New Roman" w:hAnsi="Times New Roman" w:cs="Calibri"/>
          <w:kern w:val="24"/>
          <w:sz w:val="24"/>
          <w:szCs w:val="24"/>
        </w:rPr>
      </w:pPr>
      <w:r>
        <w:rPr>
          <w:rFonts w:ascii="Calibri" w:eastAsia="Times New Roman" w:hAnsi="Times New Roman" w:cs="Calibri"/>
          <w:kern w:val="24"/>
          <w:sz w:val="24"/>
          <w:szCs w:val="24"/>
          <w:lang w:val="en-GB"/>
        </w:rPr>
        <w:t xml:space="preserve">People professionals can become customer oriented through various practices. The first practice is to set standards and regulations which guide their actions and decisions. These standards create a reliable foundation for enhancing awareness about the current organisational needs and customer preferences when executing tasks (Jaca, Prieto-Sandoval, </w:t>
      </w:r>
      <w:proofErr w:type="spellStart"/>
      <w:r>
        <w:rPr>
          <w:rFonts w:ascii="Calibri" w:eastAsia="Times New Roman" w:hAnsi="Times New Roman" w:cs="Calibri"/>
          <w:kern w:val="24"/>
          <w:sz w:val="24"/>
          <w:szCs w:val="24"/>
          <w:lang w:val="en-GB"/>
        </w:rPr>
        <w:t>Psomas</w:t>
      </w:r>
      <w:proofErr w:type="spellEnd"/>
      <w:r>
        <w:rPr>
          <w:rFonts w:ascii="Calibri" w:eastAsia="Times New Roman" w:hAnsi="Times New Roman" w:cs="Calibri"/>
          <w:kern w:val="24"/>
          <w:sz w:val="24"/>
          <w:szCs w:val="24"/>
          <w:lang w:val="en-GB"/>
        </w:rPr>
        <w:t xml:space="preserve"> &amp; </w:t>
      </w:r>
      <w:proofErr w:type="spellStart"/>
      <w:r>
        <w:rPr>
          <w:rFonts w:ascii="Calibri" w:eastAsia="Times New Roman" w:hAnsi="Times New Roman" w:cs="Calibri"/>
          <w:kern w:val="24"/>
          <w:sz w:val="24"/>
          <w:szCs w:val="24"/>
          <w:lang w:val="en-GB"/>
        </w:rPr>
        <w:t>Ormazabal</w:t>
      </w:r>
      <w:proofErr w:type="spellEnd"/>
      <w:r>
        <w:rPr>
          <w:rFonts w:ascii="Calibri" w:eastAsia="Times New Roman" w:hAnsi="Times New Roman" w:cs="Calibri"/>
          <w:kern w:val="24"/>
          <w:sz w:val="24"/>
          <w:szCs w:val="24"/>
          <w:lang w:val="en-GB"/>
        </w:rPr>
        <w:t xml:space="preserve">, 2018). Similarly, engaging the market in various environments through strategies like open communication, feedback collection and review analysis is an essential approach that promotes the capacity to increase consumer orientation. These approaches are essential because they create the ultimate framework for enhancing positive consumer relationships (Jaca, Prieto-Sandoval, </w:t>
      </w:r>
      <w:proofErr w:type="spellStart"/>
      <w:r>
        <w:rPr>
          <w:rFonts w:ascii="Calibri" w:eastAsia="Times New Roman" w:hAnsi="Times New Roman" w:cs="Calibri"/>
          <w:kern w:val="24"/>
          <w:sz w:val="24"/>
          <w:szCs w:val="24"/>
          <w:lang w:val="en-GB"/>
        </w:rPr>
        <w:t>Psomas</w:t>
      </w:r>
      <w:proofErr w:type="spellEnd"/>
      <w:r>
        <w:rPr>
          <w:rFonts w:ascii="Calibri" w:eastAsia="Times New Roman" w:hAnsi="Times New Roman" w:cs="Calibri"/>
          <w:kern w:val="24"/>
          <w:sz w:val="24"/>
          <w:szCs w:val="24"/>
          <w:lang w:val="en-GB"/>
        </w:rPr>
        <w:t xml:space="preserve"> &amp; </w:t>
      </w:r>
      <w:proofErr w:type="spellStart"/>
      <w:r>
        <w:rPr>
          <w:rFonts w:ascii="Calibri" w:eastAsia="Times New Roman" w:hAnsi="Times New Roman" w:cs="Calibri"/>
          <w:kern w:val="24"/>
          <w:sz w:val="24"/>
          <w:szCs w:val="24"/>
          <w:lang w:val="en-GB"/>
        </w:rPr>
        <w:t>Ormazabal</w:t>
      </w:r>
      <w:proofErr w:type="spellEnd"/>
      <w:r>
        <w:rPr>
          <w:rFonts w:ascii="Calibri" w:eastAsia="Times New Roman" w:hAnsi="Times New Roman" w:cs="Calibri"/>
          <w:kern w:val="24"/>
          <w:sz w:val="24"/>
          <w:szCs w:val="24"/>
          <w:lang w:val="en-GB"/>
        </w:rPr>
        <w:t xml:space="preserve">, 2018). Similarly, it is possible to enhance consumer orientation by establishing a platform for listening to the clients and customers. Listening to the customers offers essential insights which would enhance strategic engagement and relationships. Such information is essential for improving the perceptions that the business and internal stakeholders exhibit against the consumers (Jaca, Prieto-Sandoval, </w:t>
      </w:r>
      <w:proofErr w:type="spellStart"/>
      <w:r>
        <w:rPr>
          <w:rFonts w:ascii="Calibri" w:eastAsia="Times New Roman" w:hAnsi="Times New Roman" w:cs="Calibri"/>
          <w:kern w:val="24"/>
          <w:sz w:val="24"/>
          <w:szCs w:val="24"/>
          <w:lang w:val="en-GB"/>
        </w:rPr>
        <w:t>Psomas</w:t>
      </w:r>
      <w:proofErr w:type="spellEnd"/>
      <w:r>
        <w:rPr>
          <w:rFonts w:ascii="Calibri" w:eastAsia="Times New Roman" w:hAnsi="Times New Roman" w:cs="Calibri"/>
          <w:kern w:val="24"/>
          <w:sz w:val="24"/>
          <w:szCs w:val="24"/>
          <w:lang w:val="en-GB"/>
        </w:rPr>
        <w:t xml:space="preserve"> &amp; </w:t>
      </w:r>
      <w:proofErr w:type="spellStart"/>
      <w:r>
        <w:rPr>
          <w:rFonts w:ascii="Calibri" w:eastAsia="Times New Roman" w:hAnsi="Times New Roman" w:cs="Calibri"/>
          <w:kern w:val="24"/>
          <w:sz w:val="24"/>
          <w:szCs w:val="24"/>
          <w:lang w:val="en-GB"/>
        </w:rPr>
        <w:t>Ormazabal</w:t>
      </w:r>
      <w:proofErr w:type="spellEnd"/>
      <w:r>
        <w:rPr>
          <w:rFonts w:ascii="Calibri" w:eastAsia="Times New Roman" w:hAnsi="Times New Roman" w:cs="Calibri"/>
          <w:kern w:val="24"/>
          <w:sz w:val="24"/>
          <w:szCs w:val="24"/>
          <w:lang w:val="en-GB"/>
        </w:rPr>
        <w:t xml:space="preserve">, 2018). Implementing strategies that promote consumer orientation enables people professionals to create a reliable connection between an organisation and external stakeholders. </w:t>
      </w:r>
    </w:p>
    <w:p w14:paraId="194CFC3F" w14:textId="107146B9" w:rsidR="00663EAF" w:rsidRPr="006941E3" w:rsidRDefault="006941E3" w:rsidP="006941E3">
      <w:pPr>
        <w:spacing w:line="360" w:lineRule="auto"/>
        <w:jc w:val="center"/>
        <w:rPr>
          <w:b/>
          <w:bCs/>
        </w:rPr>
      </w:pPr>
      <w:r w:rsidRPr="006941E3">
        <w:rPr>
          <w:b/>
          <w:bCs/>
        </w:rPr>
        <w:lastRenderedPageBreak/>
        <w:t>References</w:t>
      </w:r>
    </w:p>
    <w:p w14:paraId="2B06B299" w14:textId="16C0A983" w:rsidR="00663EAF" w:rsidRDefault="00663EAF" w:rsidP="006941E3">
      <w:pPr>
        <w:spacing w:line="360" w:lineRule="auto"/>
        <w:jc w:val="center"/>
      </w:pPr>
      <w:r>
        <w:object w:dxaOrig="9605" w:dyaOrig="5393" w14:anchorId="47055A71">
          <v:shape id="_x0000_i1035" type="#_x0000_t75" style="width:5in;height:202.1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5" DrawAspect="Content" ObjectID="_1717839529" r:id="rId27"/>
        </w:object>
      </w:r>
    </w:p>
    <w:p w14:paraId="35CE97B7" w14:textId="77777777" w:rsidR="006941E3" w:rsidRPr="006941E3" w:rsidRDefault="006941E3" w:rsidP="006941E3">
      <w:pPr>
        <w:numPr>
          <w:ilvl w:val="0"/>
          <w:numId w:val="2"/>
        </w:numPr>
        <w:spacing w:line="360" w:lineRule="auto"/>
      </w:pPr>
      <w:r w:rsidRPr="006941E3">
        <w:rPr>
          <w:lang w:val="en-GB"/>
        </w:rPr>
        <w:t>Al-Jaber, M. A. (2020). </w:t>
      </w:r>
      <w:r w:rsidRPr="006941E3">
        <w:rPr>
          <w:i/>
          <w:iCs/>
          <w:lang w:val="en-GB"/>
        </w:rPr>
        <w:t>Dimensions of internal communication for organisation engagement: the role of co-worker trust</w:t>
      </w:r>
      <w:r w:rsidRPr="006941E3">
        <w:rPr>
          <w:lang w:val="en-GB"/>
        </w:rPr>
        <w:t xml:space="preserve"> (Doctoral dissertation, Brunel University London). </w:t>
      </w:r>
    </w:p>
    <w:p w14:paraId="519F1D33" w14:textId="77777777" w:rsidR="006941E3" w:rsidRPr="006941E3" w:rsidRDefault="006941E3" w:rsidP="006941E3">
      <w:pPr>
        <w:numPr>
          <w:ilvl w:val="0"/>
          <w:numId w:val="2"/>
        </w:numPr>
        <w:spacing w:line="360" w:lineRule="auto"/>
      </w:pPr>
      <w:r w:rsidRPr="006941E3">
        <w:rPr>
          <w:lang w:val="en-GB"/>
        </w:rPr>
        <w:t xml:space="preserve">Jaca, C., Prieto-Sandoval, V., </w:t>
      </w:r>
      <w:proofErr w:type="spellStart"/>
      <w:r w:rsidRPr="006941E3">
        <w:rPr>
          <w:lang w:val="en-GB"/>
        </w:rPr>
        <w:t>Psomas</w:t>
      </w:r>
      <w:proofErr w:type="spellEnd"/>
      <w:r w:rsidRPr="006941E3">
        <w:rPr>
          <w:lang w:val="en-GB"/>
        </w:rPr>
        <w:t xml:space="preserve">, E. L., &amp; </w:t>
      </w:r>
      <w:proofErr w:type="spellStart"/>
      <w:r w:rsidRPr="006941E3">
        <w:rPr>
          <w:lang w:val="en-GB"/>
        </w:rPr>
        <w:t>Ormazabal</w:t>
      </w:r>
      <w:proofErr w:type="spellEnd"/>
      <w:r w:rsidRPr="006941E3">
        <w:rPr>
          <w:lang w:val="en-GB"/>
        </w:rPr>
        <w:t>, M. (2018). What should consumer organizations do to drive environmental sustainability?. </w:t>
      </w:r>
      <w:r w:rsidRPr="006941E3">
        <w:rPr>
          <w:i/>
          <w:iCs/>
          <w:lang w:val="en-GB"/>
        </w:rPr>
        <w:t>Journal of Cleaner Production</w:t>
      </w:r>
      <w:r w:rsidRPr="006941E3">
        <w:rPr>
          <w:lang w:val="en-GB"/>
        </w:rPr>
        <w:t>, </w:t>
      </w:r>
      <w:r w:rsidRPr="006941E3">
        <w:rPr>
          <w:i/>
          <w:iCs/>
          <w:lang w:val="en-GB"/>
        </w:rPr>
        <w:t>181</w:t>
      </w:r>
      <w:r w:rsidRPr="006941E3">
        <w:rPr>
          <w:lang w:val="en-GB"/>
        </w:rPr>
        <w:t xml:space="preserve">, 201-208. </w:t>
      </w:r>
    </w:p>
    <w:p w14:paraId="602FFF92" w14:textId="77777777" w:rsidR="006941E3" w:rsidRPr="006941E3" w:rsidRDefault="006941E3" w:rsidP="006941E3">
      <w:pPr>
        <w:numPr>
          <w:ilvl w:val="0"/>
          <w:numId w:val="2"/>
        </w:numPr>
        <w:spacing w:line="360" w:lineRule="auto"/>
      </w:pPr>
      <w:proofErr w:type="spellStart"/>
      <w:r w:rsidRPr="006941E3">
        <w:rPr>
          <w:lang w:val="en-GB"/>
        </w:rPr>
        <w:t>Koohang</w:t>
      </w:r>
      <w:proofErr w:type="spellEnd"/>
      <w:r w:rsidRPr="006941E3">
        <w:rPr>
          <w:lang w:val="en-GB"/>
        </w:rPr>
        <w:t>, A., &amp; Nord, J. H. (2021). Critical components of data analytics in organizations: A research model. </w:t>
      </w:r>
      <w:r w:rsidRPr="006941E3">
        <w:rPr>
          <w:i/>
          <w:iCs/>
          <w:lang w:val="en-GB"/>
        </w:rPr>
        <w:t>Expert Systems with Applications</w:t>
      </w:r>
      <w:r w:rsidRPr="006941E3">
        <w:rPr>
          <w:lang w:val="en-GB"/>
        </w:rPr>
        <w:t>, </w:t>
      </w:r>
      <w:r w:rsidRPr="006941E3">
        <w:rPr>
          <w:i/>
          <w:iCs/>
          <w:lang w:val="en-GB"/>
        </w:rPr>
        <w:t>166</w:t>
      </w:r>
      <w:r w:rsidRPr="006941E3">
        <w:rPr>
          <w:lang w:val="en-GB"/>
        </w:rPr>
        <w:t xml:space="preserve">, 114118. </w:t>
      </w:r>
    </w:p>
    <w:p w14:paraId="2C6C8046" w14:textId="77777777" w:rsidR="006941E3" w:rsidRPr="006941E3" w:rsidRDefault="006941E3" w:rsidP="006941E3">
      <w:pPr>
        <w:numPr>
          <w:ilvl w:val="0"/>
          <w:numId w:val="2"/>
        </w:numPr>
        <w:spacing w:line="360" w:lineRule="auto"/>
      </w:pPr>
      <w:r w:rsidRPr="006941E3">
        <w:t>Luthans, F., Luthans, B. C., &amp; Luthans, K. W. (2021). </w:t>
      </w:r>
      <w:r w:rsidRPr="006941E3">
        <w:rPr>
          <w:i/>
          <w:iCs/>
        </w:rPr>
        <w:t>Organizational Behavior: An Evidence-Based Approach Fourteenth Edition</w:t>
      </w:r>
      <w:r w:rsidRPr="006941E3">
        <w:t>. IAP.</w:t>
      </w:r>
    </w:p>
    <w:p w14:paraId="5981B70C" w14:textId="77777777" w:rsidR="006941E3" w:rsidRPr="006941E3" w:rsidRDefault="006941E3" w:rsidP="006941E3">
      <w:pPr>
        <w:numPr>
          <w:ilvl w:val="0"/>
          <w:numId w:val="2"/>
        </w:numPr>
        <w:spacing w:line="360" w:lineRule="auto"/>
      </w:pPr>
      <w:proofErr w:type="spellStart"/>
      <w:r w:rsidRPr="006941E3">
        <w:rPr>
          <w:lang w:val="en-GB"/>
        </w:rPr>
        <w:t>Nastase</w:t>
      </w:r>
      <w:proofErr w:type="spellEnd"/>
      <w:r w:rsidRPr="006941E3">
        <w:rPr>
          <w:lang w:val="en-GB"/>
        </w:rPr>
        <w:t xml:space="preserve">, M., </w:t>
      </w:r>
      <w:proofErr w:type="spellStart"/>
      <w:r w:rsidRPr="006941E3">
        <w:rPr>
          <w:lang w:val="en-GB"/>
        </w:rPr>
        <w:t>Bibu</w:t>
      </w:r>
      <w:proofErr w:type="spellEnd"/>
      <w:r w:rsidRPr="006941E3">
        <w:rPr>
          <w:lang w:val="en-GB"/>
        </w:rPr>
        <w:t xml:space="preserve">, N., Munteanu, A. I., </w:t>
      </w:r>
      <w:proofErr w:type="spellStart"/>
      <w:r w:rsidRPr="006941E3">
        <w:rPr>
          <w:lang w:val="en-GB"/>
        </w:rPr>
        <w:t>Mircioi</w:t>
      </w:r>
      <w:proofErr w:type="spellEnd"/>
      <w:r w:rsidRPr="006941E3">
        <w:rPr>
          <w:lang w:val="en-GB"/>
        </w:rPr>
        <w:t xml:space="preserve">, I., &amp; </w:t>
      </w:r>
      <w:proofErr w:type="spellStart"/>
      <w:r w:rsidRPr="006941E3">
        <w:rPr>
          <w:lang w:val="en-GB"/>
        </w:rPr>
        <w:t>Florescu</w:t>
      </w:r>
      <w:proofErr w:type="spellEnd"/>
      <w:r w:rsidRPr="006941E3">
        <w:rPr>
          <w:lang w:val="en-GB"/>
        </w:rPr>
        <w:t>, M. S. (2019). The specific elements of strategic human resources management for competitive business development. </w:t>
      </w:r>
      <w:proofErr w:type="spellStart"/>
      <w:r w:rsidRPr="006941E3">
        <w:rPr>
          <w:i/>
          <w:iCs/>
          <w:lang w:val="en-GB"/>
        </w:rPr>
        <w:t>Industria</w:t>
      </w:r>
      <w:proofErr w:type="spellEnd"/>
      <w:r w:rsidRPr="006941E3">
        <w:rPr>
          <w:i/>
          <w:iCs/>
          <w:lang w:val="en-GB"/>
        </w:rPr>
        <w:t xml:space="preserve"> </w:t>
      </w:r>
      <w:proofErr w:type="spellStart"/>
      <w:r w:rsidRPr="006941E3">
        <w:rPr>
          <w:i/>
          <w:iCs/>
          <w:lang w:val="en-GB"/>
        </w:rPr>
        <w:t>Textila</w:t>
      </w:r>
      <w:proofErr w:type="spellEnd"/>
      <w:r w:rsidRPr="006941E3">
        <w:rPr>
          <w:lang w:val="en-GB"/>
        </w:rPr>
        <w:t>, </w:t>
      </w:r>
      <w:r w:rsidRPr="006941E3">
        <w:rPr>
          <w:i/>
          <w:iCs/>
          <w:lang w:val="en-GB"/>
        </w:rPr>
        <w:t>70</w:t>
      </w:r>
      <w:r w:rsidRPr="006941E3">
        <w:rPr>
          <w:lang w:val="en-GB"/>
        </w:rPr>
        <w:t xml:space="preserve">(6), 579-586. </w:t>
      </w:r>
    </w:p>
    <w:p w14:paraId="60583B59" w14:textId="77777777" w:rsidR="006941E3" w:rsidRPr="006941E3" w:rsidRDefault="006941E3" w:rsidP="006941E3">
      <w:pPr>
        <w:numPr>
          <w:ilvl w:val="0"/>
          <w:numId w:val="2"/>
        </w:numPr>
        <w:spacing w:line="360" w:lineRule="auto"/>
      </w:pPr>
      <w:r w:rsidRPr="006941E3">
        <w:rPr>
          <w:lang w:val="en-GB"/>
        </w:rPr>
        <w:t xml:space="preserve">North, K., &amp; </w:t>
      </w:r>
      <w:proofErr w:type="spellStart"/>
      <w:r w:rsidRPr="006941E3">
        <w:rPr>
          <w:lang w:val="en-GB"/>
        </w:rPr>
        <w:t>Kumta</w:t>
      </w:r>
      <w:proofErr w:type="spellEnd"/>
      <w:r w:rsidRPr="006941E3">
        <w:rPr>
          <w:lang w:val="en-GB"/>
        </w:rPr>
        <w:t>, G. (2018). </w:t>
      </w:r>
      <w:r w:rsidRPr="006941E3">
        <w:rPr>
          <w:i/>
          <w:iCs/>
          <w:lang w:val="en-GB"/>
        </w:rPr>
        <w:t>Knowledge management: Value creation through organizational learning</w:t>
      </w:r>
      <w:r w:rsidRPr="006941E3">
        <w:rPr>
          <w:lang w:val="en-GB"/>
        </w:rPr>
        <w:t xml:space="preserve">. Springer. </w:t>
      </w:r>
    </w:p>
    <w:p w14:paraId="33E9A611" w14:textId="77777777" w:rsidR="006941E3" w:rsidRPr="006941E3" w:rsidRDefault="006941E3" w:rsidP="006941E3">
      <w:pPr>
        <w:numPr>
          <w:ilvl w:val="0"/>
          <w:numId w:val="2"/>
        </w:numPr>
        <w:spacing w:line="360" w:lineRule="auto"/>
      </w:pPr>
      <w:proofErr w:type="spellStart"/>
      <w:r w:rsidRPr="006941E3">
        <w:rPr>
          <w:lang w:val="en-GB"/>
        </w:rPr>
        <w:t>Schmiedel</w:t>
      </w:r>
      <w:proofErr w:type="spellEnd"/>
      <w:r w:rsidRPr="006941E3">
        <w:rPr>
          <w:lang w:val="en-GB"/>
        </w:rPr>
        <w:t xml:space="preserve">, T., Müller, O., &amp; </w:t>
      </w:r>
      <w:proofErr w:type="spellStart"/>
      <w:r w:rsidRPr="006941E3">
        <w:rPr>
          <w:lang w:val="en-GB"/>
        </w:rPr>
        <w:t>vom</w:t>
      </w:r>
      <w:proofErr w:type="spellEnd"/>
      <w:r w:rsidRPr="006941E3">
        <w:rPr>
          <w:lang w:val="en-GB"/>
        </w:rPr>
        <w:t xml:space="preserve"> </w:t>
      </w:r>
      <w:proofErr w:type="spellStart"/>
      <w:r w:rsidRPr="006941E3">
        <w:rPr>
          <w:lang w:val="en-GB"/>
        </w:rPr>
        <w:t>Brocke</w:t>
      </w:r>
      <w:proofErr w:type="spellEnd"/>
      <w:r w:rsidRPr="006941E3">
        <w:rPr>
          <w:lang w:val="en-GB"/>
        </w:rPr>
        <w:t xml:space="preserve">, J. (2019). Topic </w:t>
      </w:r>
      <w:proofErr w:type="spellStart"/>
      <w:r w:rsidRPr="006941E3">
        <w:rPr>
          <w:lang w:val="en-GB"/>
        </w:rPr>
        <w:t>modeling</w:t>
      </w:r>
      <w:proofErr w:type="spellEnd"/>
      <w:r w:rsidRPr="006941E3">
        <w:rPr>
          <w:lang w:val="en-GB"/>
        </w:rPr>
        <w:t xml:space="preserve"> as a strategy of inquiry in organizational research: A tutorial with an application example on organizational culture. </w:t>
      </w:r>
      <w:r w:rsidRPr="006941E3">
        <w:rPr>
          <w:i/>
          <w:iCs/>
          <w:lang w:val="en-GB"/>
        </w:rPr>
        <w:t>Organizational Research Methods</w:t>
      </w:r>
      <w:r w:rsidRPr="006941E3">
        <w:rPr>
          <w:lang w:val="en-GB"/>
        </w:rPr>
        <w:t>, </w:t>
      </w:r>
      <w:r w:rsidRPr="006941E3">
        <w:rPr>
          <w:i/>
          <w:iCs/>
          <w:lang w:val="en-GB"/>
        </w:rPr>
        <w:t>22</w:t>
      </w:r>
      <w:r w:rsidRPr="006941E3">
        <w:rPr>
          <w:lang w:val="en-GB"/>
        </w:rPr>
        <w:t xml:space="preserve">(4), 941-968. </w:t>
      </w:r>
    </w:p>
    <w:p w14:paraId="2594A0C3" w14:textId="77777777" w:rsidR="006941E3" w:rsidRPr="006941E3" w:rsidRDefault="006941E3" w:rsidP="006941E3">
      <w:pPr>
        <w:numPr>
          <w:ilvl w:val="0"/>
          <w:numId w:val="2"/>
        </w:numPr>
        <w:spacing w:line="360" w:lineRule="auto"/>
      </w:pPr>
      <w:r w:rsidRPr="006941E3">
        <w:rPr>
          <w:lang w:val="en-GB"/>
        </w:rPr>
        <w:lastRenderedPageBreak/>
        <w:t xml:space="preserve">Shahid, N., </w:t>
      </w:r>
      <w:proofErr w:type="spellStart"/>
      <w:r w:rsidRPr="006941E3">
        <w:rPr>
          <w:lang w:val="en-GB"/>
        </w:rPr>
        <w:t>Rappon</w:t>
      </w:r>
      <w:proofErr w:type="spellEnd"/>
      <w:r w:rsidRPr="006941E3">
        <w:rPr>
          <w:lang w:val="en-GB"/>
        </w:rPr>
        <w:t>, T., &amp; Berta, W. (2019). Applications of artificial neural networks in health care organizational decision-making: A scoping review. </w:t>
      </w:r>
      <w:proofErr w:type="spellStart"/>
      <w:r w:rsidRPr="006941E3">
        <w:rPr>
          <w:i/>
          <w:iCs/>
          <w:lang w:val="en-GB"/>
        </w:rPr>
        <w:t>PloS</w:t>
      </w:r>
      <w:proofErr w:type="spellEnd"/>
      <w:r w:rsidRPr="006941E3">
        <w:rPr>
          <w:i/>
          <w:iCs/>
          <w:lang w:val="en-GB"/>
        </w:rPr>
        <w:t xml:space="preserve"> one</w:t>
      </w:r>
      <w:r w:rsidRPr="006941E3">
        <w:rPr>
          <w:lang w:val="en-GB"/>
        </w:rPr>
        <w:t>, </w:t>
      </w:r>
      <w:r w:rsidRPr="006941E3">
        <w:rPr>
          <w:i/>
          <w:iCs/>
          <w:lang w:val="en-GB"/>
        </w:rPr>
        <w:t>14</w:t>
      </w:r>
      <w:r w:rsidRPr="006941E3">
        <w:rPr>
          <w:lang w:val="en-GB"/>
        </w:rPr>
        <w:t xml:space="preserve">(2), e0212356. </w:t>
      </w:r>
    </w:p>
    <w:p w14:paraId="51E8105C" w14:textId="77777777" w:rsidR="006941E3" w:rsidRPr="006941E3" w:rsidRDefault="006941E3" w:rsidP="006941E3">
      <w:pPr>
        <w:numPr>
          <w:ilvl w:val="0"/>
          <w:numId w:val="2"/>
        </w:numPr>
        <w:spacing w:line="360" w:lineRule="auto"/>
      </w:pPr>
      <w:proofErr w:type="spellStart"/>
      <w:r w:rsidRPr="006941E3">
        <w:rPr>
          <w:lang w:val="en-GB"/>
        </w:rPr>
        <w:t>Vrontis</w:t>
      </w:r>
      <w:proofErr w:type="spellEnd"/>
      <w:r w:rsidRPr="006941E3">
        <w:rPr>
          <w:lang w:val="en-GB"/>
        </w:rPr>
        <w:t xml:space="preserve">, D., </w:t>
      </w:r>
      <w:proofErr w:type="spellStart"/>
      <w:r w:rsidRPr="006941E3">
        <w:rPr>
          <w:lang w:val="en-GB"/>
        </w:rPr>
        <w:t>Siachou</w:t>
      </w:r>
      <w:proofErr w:type="spellEnd"/>
      <w:r w:rsidRPr="006941E3">
        <w:rPr>
          <w:lang w:val="en-GB"/>
        </w:rPr>
        <w:t xml:space="preserve">, E., </w:t>
      </w:r>
      <w:proofErr w:type="spellStart"/>
      <w:r w:rsidRPr="006941E3">
        <w:rPr>
          <w:lang w:val="en-GB"/>
        </w:rPr>
        <w:t>Sakka</w:t>
      </w:r>
      <w:proofErr w:type="spellEnd"/>
      <w:r w:rsidRPr="006941E3">
        <w:rPr>
          <w:lang w:val="en-GB"/>
        </w:rPr>
        <w:t>, G., Chatterjee, S., Chaudhuri, R., &amp; Ghosh, A. (2022). Societal effects of social media in organizations: Reflective points deriving from a systematic literature review and a bibliometric meta-analysis. </w:t>
      </w:r>
      <w:r w:rsidRPr="006941E3">
        <w:rPr>
          <w:i/>
          <w:iCs/>
          <w:lang w:val="en-GB"/>
        </w:rPr>
        <w:t>European Management Journal</w:t>
      </w:r>
      <w:r w:rsidRPr="006941E3">
        <w:rPr>
          <w:lang w:val="en-GB"/>
        </w:rPr>
        <w:t xml:space="preserve">. </w:t>
      </w:r>
    </w:p>
    <w:p w14:paraId="4EC88A1D" w14:textId="77777777" w:rsidR="006941E3" w:rsidRPr="006941E3" w:rsidRDefault="006941E3" w:rsidP="006941E3">
      <w:pPr>
        <w:numPr>
          <w:ilvl w:val="0"/>
          <w:numId w:val="2"/>
        </w:numPr>
        <w:spacing w:line="360" w:lineRule="auto"/>
      </w:pPr>
      <w:r w:rsidRPr="006941E3">
        <w:rPr>
          <w:lang w:val="en-GB"/>
        </w:rPr>
        <w:t>Yang, Y., Yang, F., &amp; Zhao, X. (2022). The impact of the quality of environmental information disclosure on financial performance: the moderating effect of internal and external stakeholders. </w:t>
      </w:r>
      <w:r w:rsidRPr="006941E3">
        <w:rPr>
          <w:i/>
          <w:iCs/>
          <w:lang w:val="en-GB"/>
        </w:rPr>
        <w:t>Environmental Science and Pollution Research</w:t>
      </w:r>
      <w:r w:rsidRPr="006941E3">
        <w:rPr>
          <w:lang w:val="en-GB"/>
        </w:rPr>
        <w:t xml:space="preserve">, 1-19. </w:t>
      </w:r>
    </w:p>
    <w:p w14:paraId="1669422F" w14:textId="77777777" w:rsidR="00663EAF" w:rsidRDefault="00663EAF" w:rsidP="00663EAF">
      <w:pPr>
        <w:spacing w:line="360" w:lineRule="auto"/>
      </w:pPr>
    </w:p>
    <w:sectPr w:rsidR="00663EAF">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482DE" w14:textId="77777777" w:rsidR="00E868E4" w:rsidRDefault="00E868E4" w:rsidP="00EF7CA8">
      <w:pPr>
        <w:spacing w:after="0" w:line="240" w:lineRule="auto"/>
      </w:pPr>
      <w:r>
        <w:separator/>
      </w:r>
    </w:p>
  </w:endnote>
  <w:endnote w:type="continuationSeparator" w:id="0">
    <w:p w14:paraId="0ABAD1DF" w14:textId="77777777" w:rsidR="00E868E4" w:rsidRDefault="00E868E4" w:rsidP="00EF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ABC9F" w14:textId="77777777" w:rsidR="00E868E4" w:rsidRDefault="00E868E4" w:rsidP="00EF7CA8">
      <w:pPr>
        <w:spacing w:after="0" w:line="240" w:lineRule="auto"/>
      </w:pPr>
      <w:r>
        <w:separator/>
      </w:r>
    </w:p>
  </w:footnote>
  <w:footnote w:type="continuationSeparator" w:id="0">
    <w:p w14:paraId="352BCB9E" w14:textId="77777777" w:rsidR="00E868E4" w:rsidRDefault="00E868E4" w:rsidP="00EF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348832"/>
      <w:docPartObj>
        <w:docPartGallery w:val="Page Numbers (Top of Page)"/>
        <w:docPartUnique/>
      </w:docPartObj>
    </w:sdtPr>
    <w:sdtEndPr>
      <w:rPr>
        <w:noProof/>
      </w:rPr>
    </w:sdtEndPr>
    <w:sdtContent>
      <w:p w14:paraId="01C73B06" w14:textId="32ABE3F1" w:rsidR="00EF7CA8" w:rsidRDefault="00EF7CA8">
        <w:pPr>
          <w:pStyle w:val="Header"/>
        </w:pPr>
        <w:r>
          <w:fldChar w:fldCharType="begin"/>
        </w:r>
        <w:r>
          <w:instrText xml:space="preserve"> PAGE   \* MERGEFORMAT </w:instrText>
        </w:r>
        <w:r>
          <w:fldChar w:fldCharType="separate"/>
        </w:r>
        <w:r>
          <w:rPr>
            <w:noProof/>
          </w:rPr>
          <w:t>2</w:t>
        </w:r>
        <w:r>
          <w:rPr>
            <w:noProof/>
          </w:rPr>
          <w:fldChar w:fldCharType="end"/>
        </w:r>
      </w:p>
    </w:sdtContent>
  </w:sdt>
  <w:p w14:paraId="483B5A35" w14:textId="77777777" w:rsidR="00EF7CA8" w:rsidRDefault="00EF7C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AF78"/>
      </v:shape>
    </w:pict>
  </w:numPicBullet>
  <w:abstractNum w:abstractNumId="0" w15:restartNumberingAfterBreak="0">
    <w:nsid w:val="5D7B7483"/>
    <w:multiLevelType w:val="hybridMultilevel"/>
    <w:tmpl w:val="B3788178"/>
    <w:lvl w:ilvl="0" w:tplc="04090007">
      <w:start w:val="1"/>
      <w:numFmt w:val="bullet"/>
      <w:lvlText w:val=""/>
      <w:lvlPicBulletId w:val="0"/>
      <w:lvlJc w:val="left"/>
      <w:pPr>
        <w:ind w:left="1233" w:hanging="360"/>
      </w:pPr>
      <w:rPr>
        <w:rFonts w:ascii="Symbol" w:hAnsi="Symbol" w:hint="default"/>
        <w:w w:val="100"/>
        <w:lang w:val="en-GB" w:eastAsia="en-US" w:bidi="ar-SA"/>
      </w:rPr>
    </w:lvl>
    <w:lvl w:ilvl="1" w:tplc="73727ADA">
      <w:numFmt w:val="bullet"/>
      <w:lvlText w:val="•"/>
      <w:lvlJc w:val="left"/>
      <w:pPr>
        <w:ind w:left="2163" w:hanging="360"/>
      </w:pPr>
      <w:rPr>
        <w:lang w:val="en-GB" w:eastAsia="en-US" w:bidi="ar-SA"/>
      </w:rPr>
    </w:lvl>
    <w:lvl w:ilvl="2" w:tplc="89C6E090">
      <w:numFmt w:val="bullet"/>
      <w:lvlText w:val="•"/>
      <w:lvlJc w:val="left"/>
      <w:pPr>
        <w:ind w:left="3087" w:hanging="360"/>
      </w:pPr>
      <w:rPr>
        <w:lang w:val="en-GB" w:eastAsia="en-US" w:bidi="ar-SA"/>
      </w:rPr>
    </w:lvl>
    <w:lvl w:ilvl="3" w:tplc="A91ACFD2">
      <w:numFmt w:val="bullet"/>
      <w:lvlText w:val="•"/>
      <w:lvlJc w:val="left"/>
      <w:pPr>
        <w:ind w:left="4011" w:hanging="360"/>
      </w:pPr>
      <w:rPr>
        <w:lang w:val="en-GB" w:eastAsia="en-US" w:bidi="ar-SA"/>
      </w:rPr>
    </w:lvl>
    <w:lvl w:ilvl="4" w:tplc="3E9A109A">
      <w:numFmt w:val="bullet"/>
      <w:lvlText w:val="•"/>
      <w:lvlJc w:val="left"/>
      <w:pPr>
        <w:ind w:left="4935" w:hanging="360"/>
      </w:pPr>
      <w:rPr>
        <w:lang w:val="en-GB" w:eastAsia="en-US" w:bidi="ar-SA"/>
      </w:rPr>
    </w:lvl>
    <w:lvl w:ilvl="5" w:tplc="61D0DFCC">
      <w:numFmt w:val="bullet"/>
      <w:lvlText w:val="•"/>
      <w:lvlJc w:val="left"/>
      <w:pPr>
        <w:ind w:left="5859" w:hanging="360"/>
      </w:pPr>
      <w:rPr>
        <w:lang w:val="en-GB" w:eastAsia="en-US" w:bidi="ar-SA"/>
      </w:rPr>
    </w:lvl>
    <w:lvl w:ilvl="6" w:tplc="408EFEE6">
      <w:numFmt w:val="bullet"/>
      <w:lvlText w:val="•"/>
      <w:lvlJc w:val="left"/>
      <w:pPr>
        <w:ind w:left="6783" w:hanging="360"/>
      </w:pPr>
      <w:rPr>
        <w:lang w:val="en-GB" w:eastAsia="en-US" w:bidi="ar-SA"/>
      </w:rPr>
    </w:lvl>
    <w:lvl w:ilvl="7" w:tplc="7F6A6890">
      <w:numFmt w:val="bullet"/>
      <w:lvlText w:val="•"/>
      <w:lvlJc w:val="left"/>
      <w:pPr>
        <w:ind w:left="7707" w:hanging="360"/>
      </w:pPr>
      <w:rPr>
        <w:lang w:val="en-GB" w:eastAsia="en-US" w:bidi="ar-SA"/>
      </w:rPr>
    </w:lvl>
    <w:lvl w:ilvl="8" w:tplc="D7381094">
      <w:numFmt w:val="bullet"/>
      <w:lvlText w:val="•"/>
      <w:lvlJc w:val="left"/>
      <w:pPr>
        <w:ind w:left="8631" w:hanging="360"/>
      </w:pPr>
      <w:rPr>
        <w:lang w:val="en-GB" w:eastAsia="en-US" w:bidi="ar-SA"/>
      </w:rPr>
    </w:lvl>
  </w:abstractNum>
  <w:abstractNum w:abstractNumId="1" w15:restartNumberingAfterBreak="0">
    <w:nsid w:val="735839EE"/>
    <w:multiLevelType w:val="hybridMultilevel"/>
    <w:tmpl w:val="4022D5BE"/>
    <w:lvl w:ilvl="0" w:tplc="7318F9DE">
      <w:start w:val="1"/>
      <w:numFmt w:val="bullet"/>
      <w:lvlText w:val="•"/>
      <w:lvlJc w:val="left"/>
      <w:pPr>
        <w:tabs>
          <w:tab w:val="num" w:pos="720"/>
        </w:tabs>
        <w:ind w:left="720" w:hanging="360"/>
      </w:pPr>
      <w:rPr>
        <w:rFonts w:ascii="Arial" w:hAnsi="Arial" w:hint="default"/>
      </w:rPr>
    </w:lvl>
    <w:lvl w:ilvl="1" w:tplc="4C1AEC6C" w:tentative="1">
      <w:start w:val="1"/>
      <w:numFmt w:val="bullet"/>
      <w:lvlText w:val="•"/>
      <w:lvlJc w:val="left"/>
      <w:pPr>
        <w:tabs>
          <w:tab w:val="num" w:pos="1440"/>
        </w:tabs>
        <w:ind w:left="1440" w:hanging="360"/>
      </w:pPr>
      <w:rPr>
        <w:rFonts w:ascii="Arial" w:hAnsi="Arial" w:hint="default"/>
      </w:rPr>
    </w:lvl>
    <w:lvl w:ilvl="2" w:tplc="85A8F304" w:tentative="1">
      <w:start w:val="1"/>
      <w:numFmt w:val="bullet"/>
      <w:lvlText w:val="•"/>
      <w:lvlJc w:val="left"/>
      <w:pPr>
        <w:tabs>
          <w:tab w:val="num" w:pos="2160"/>
        </w:tabs>
        <w:ind w:left="2160" w:hanging="360"/>
      </w:pPr>
      <w:rPr>
        <w:rFonts w:ascii="Arial" w:hAnsi="Arial" w:hint="default"/>
      </w:rPr>
    </w:lvl>
    <w:lvl w:ilvl="3" w:tplc="7BA87606" w:tentative="1">
      <w:start w:val="1"/>
      <w:numFmt w:val="bullet"/>
      <w:lvlText w:val="•"/>
      <w:lvlJc w:val="left"/>
      <w:pPr>
        <w:tabs>
          <w:tab w:val="num" w:pos="2880"/>
        </w:tabs>
        <w:ind w:left="2880" w:hanging="360"/>
      </w:pPr>
      <w:rPr>
        <w:rFonts w:ascii="Arial" w:hAnsi="Arial" w:hint="default"/>
      </w:rPr>
    </w:lvl>
    <w:lvl w:ilvl="4" w:tplc="649ACF86" w:tentative="1">
      <w:start w:val="1"/>
      <w:numFmt w:val="bullet"/>
      <w:lvlText w:val="•"/>
      <w:lvlJc w:val="left"/>
      <w:pPr>
        <w:tabs>
          <w:tab w:val="num" w:pos="3600"/>
        </w:tabs>
        <w:ind w:left="3600" w:hanging="360"/>
      </w:pPr>
      <w:rPr>
        <w:rFonts w:ascii="Arial" w:hAnsi="Arial" w:hint="default"/>
      </w:rPr>
    </w:lvl>
    <w:lvl w:ilvl="5" w:tplc="CEAE5DCE" w:tentative="1">
      <w:start w:val="1"/>
      <w:numFmt w:val="bullet"/>
      <w:lvlText w:val="•"/>
      <w:lvlJc w:val="left"/>
      <w:pPr>
        <w:tabs>
          <w:tab w:val="num" w:pos="4320"/>
        </w:tabs>
        <w:ind w:left="4320" w:hanging="360"/>
      </w:pPr>
      <w:rPr>
        <w:rFonts w:ascii="Arial" w:hAnsi="Arial" w:hint="default"/>
      </w:rPr>
    </w:lvl>
    <w:lvl w:ilvl="6" w:tplc="2306EBFE" w:tentative="1">
      <w:start w:val="1"/>
      <w:numFmt w:val="bullet"/>
      <w:lvlText w:val="•"/>
      <w:lvlJc w:val="left"/>
      <w:pPr>
        <w:tabs>
          <w:tab w:val="num" w:pos="5040"/>
        </w:tabs>
        <w:ind w:left="5040" w:hanging="360"/>
      </w:pPr>
      <w:rPr>
        <w:rFonts w:ascii="Arial" w:hAnsi="Arial" w:hint="default"/>
      </w:rPr>
    </w:lvl>
    <w:lvl w:ilvl="7" w:tplc="01D814D2" w:tentative="1">
      <w:start w:val="1"/>
      <w:numFmt w:val="bullet"/>
      <w:lvlText w:val="•"/>
      <w:lvlJc w:val="left"/>
      <w:pPr>
        <w:tabs>
          <w:tab w:val="num" w:pos="5760"/>
        </w:tabs>
        <w:ind w:left="5760" w:hanging="360"/>
      </w:pPr>
      <w:rPr>
        <w:rFonts w:ascii="Arial" w:hAnsi="Arial" w:hint="default"/>
      </w:rPr>
    </w:lvl>
    <w:lvl w:ilvl="8" w:tplc="30DCC5A8" w:tentative="1">
      <w:start w:val="1"/>
      <w:numFmt w:val="bullet"/>
      <w:lvlText w:val="•"/>
      <w:lvlJc w:val="left"/>
      <w:pPr>
        <w:tabs>
          <w:tab w:val="num" w:pos="6480"/>
        </w:tabs>
        <w:ind w:left="6480" w:hanging="360"/>
      </w:pPr>
      <w:rPr>
        <w:rFonts w:ascii="Arial" w:hAnsi="Arial" w:hint="default"/>
      </w:rPr>
    </w:lvl>
  </w:abstractNum>
  <w:num w:numId="1" w16cid:durableId="1015225940">
    <w:abstractNumId w:val="0"/>
  </w:num>
  <w:num w:numId="2" w16cid:durableId="714543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ztzQzMTI1NbS0MDZX0lEKTi0uzszPAymwqAUAU14whiwAAAA="/>
  </w:docVars>
  <w:rsids>
    <w:rsidRoot w:val="00663EAF"/>
    <w:rsid w:val="00037C5B"/>
    <w:rsid w:val="002248F4"/>
    <w:rsid w:val="00251D4E"/>
    <w:rsid w:val="002E648B"/>
    <w:rsid w:val="00326FEF"/>
    <w:rsid w:val="00384800"/>
    <w:rsid w:val="003E1783"/>
    <w:rsid w:val="005D5BE6"/>
    <w:rsid w:val="005D6AB5"/>
    <w:rsid w:val="005F4F16"/>
    <w:rsid w:val="00602356"/>
    <w:rsid w:val="00661468"/>
    <w:rsid w:val="00663EAF"/>
    <w:rsid w:val="006941E3"/>
    <w:rsid w:val="006E3213"/>
    <w:rsid w:val="00756683"/>
    <w:rsid w:val="00856568"/>
    <w:rsid w:val="009B7B5B"/>
    <w:rsid w:val="00A4207A"/>
    <w:rsid w:val="00A94DCE"/>
    <w:rsid w:val="00B95119"/>
    <w:rsid w:val="00C13C64"/>
    <w:rsid w:val="00CF5F38"/>
    <w:rsid w:val="00D450B3"/>
    <w:rsid w:val="00DB63AD"/>
    <w:rsid w:val="00DD5A41"/>
    <w:rsid w:val="00E317EF"/>
    <w:rsid w:val="00E868E4"/>
    <w:rsid w:val="00EF7C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AF9DF"/>
  <w15:chartTrackingRefBased/>
  <w15:docId w15:val="{F870D582-E14C-49A6-B4F1-640CDECB6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2E648B"/>
    <w:pPr>
      <w:widowControl w:val="0"/>
      <w:autoSpaceDE w:val="0"/>
      <w:autoSpaceDN w:val="0"/>
      <w:spacing w:after="0" w:line="240" w:lineRule="auto"/>
    </w:pPr>
    <w:rPr>
      <w:rFonts w:ascii="Arial" w:eastAsia="Arial" w:hAnsi="Arial" w:cs="Arial"/>
      <w:lang w:val="en-GB"/>
    </w:rPr>
  </w:style>
  <w:style w:type="paragraph" w:styleId="ListParagraph">
    <w:name w:val="List Paragraph"/>
    <w:basedOn w:val="Normal"/>
    <w:uiPriority w:val="1"/>
    <w:qFormat/>
    <w:rsid w:val="006941E3"/>
    <w:pPr>
      <w:widowControl w:val="0"/>
      <w:autoSpaceDE w:val="0"/>
      <w:autoSpaceDN w:val="0"/>
      <w:spacing w:before="154" w:after="0" w:line="240" w:lineRule="auto"/>
      <w:ind w:left="1233" w:hanging="360"/>
    </w:pPr>
    <w:rPr>
      <w:rFonts w:ascii="Arial" w:eastAsia="Arial" w:hAnsi="Arial" w:cs="Arial"/>
      <w:lang w:val="en-GB"/>
    </w:rPr>
  </w:style>
  <w:style w:type="paragraph" w:styleId="Header">
    <w:name w:val="header"/>
    <w:basedOn w:val="Normal"/>
    <w:link w:val="HeaderChar"/>
    <w:uiPriority w:val="99"/>
    <w:unhideWhenUsed/>
    <w:rsid w:val="00EF7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CA8"/>
  </w:style>
  <w:style w:type="paragraph" w:styleId="Footer">
    <w:name w:val="footer"/>
    <w:basedOn w:val="Normal"/>
    <w:link w:val="FooterChar"/>
    <w:uiPriority w:val="99"/>
    <w:unhideWhenUsed/>
    <w:rsid w:val="00EF7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5810">
      <w:bodyDiv w:val="1"/>
      <w:marLeft w:val="0"/>
      <w:marRight w:val="0"/>
      <w:marTop w:val="0"/>
      <w:marBottom w:val="0"/>
      <w:divBdr>
        <w:top w:val="none" w:sz="0" w:space="0" w:color="auto"/>
        <w:left w:val="none" w:sz="0" w:space="0" w:color="auto"/>
        <w:bottom w:val="none" w:sz="0" w:space="0" w:color="auto"/>
        <w:right w:val="none" w:sz="0" w:space="0" w:color="auto"/>
      </w:divBdr>
    </w:div>
    <w:div w:id="4721306">
      <w:bodyDiv w:val="1"/>
      <w:marLeft w:val="0"/>
      <w:marRight w:val="0"/>
      <w:marTop w:val="0"/>
      <w:marBottom w:val="0"/>
      <w:divBdr>
        <w:top w:val="none" w:sz="0" w:space="0" w:color="auto"/>
        <w:left w:val="none" w:sz="0" w:space="0" w:color="auto"/>
        <w:bottom w:val="none" w:sz="0" w:space="0" w:color="auto"/>
        <w:right w:val="none" w:sz="0" w:space="0" w:color="auto"/>
      </w:divBdr>
    </w:div>
    <w:div w:id="178351430">
      <w:bodyDiv w:val="1"/>
      <w:marLeft w:val="0"/>
      <w:marRight w:val="0"/>
      <w:marTop w:val="0"/>
      <w:marBottom w:val="0"/>
      <w:divBdr>
        <w:top w:val="none" w:sz="0" w:space="0" w:color="auto"/>
        <w:left w:val="none" w:sz="0" w:space="0" w:color="auto"/>
        <w:bottom w:val="none" w:sz="0" w:space="0" w:color="auto"/>
        <w:right w:val="none" w:sz="0" w:space="0" w:color="auto"/>
      </w:divBdr>
    </w:div>
    <w:div w:id="561019647">
      <w:bodyDiv w:val="1"/>
      <w:marLeft w:val="0"/>
      <w:marRight w:val="0"/>
      <w:marTop w:val="0"/>
      <w:marBottom w:val="0"/>
      <w:divBdr>
        <w:top w:val="none" w:sz="0" w:space="0" w:color="auto"/>
        <w:left w:val="none" w:sz="0" w:space="0" w:color="auto"/>
        <w:bottom w:val="none" w:sz="0" w:space="0" w:color="auto"/>
        <w:right w:val="none" w:sz="0" w:space="0" w:color="auto"/>
      </w:divBdr>
    </w:div>
    <w:div w:id="575552901">
      <w:bodyDiv w:val="1"/>
      <w:marLeft w:val="0"/>
      <w:marRight w:val="0"/>
      <w:marTop w:val="0"/>
      <w:marBottom w:val="0"/>
      <w:divBdr>
        <w:top w:val="none" w:sz="0" w:space="0" w:color="auto"/>
        <w:left w:val="none" w:sz="0" w:space="0" w:color="auto"/>
        <w:bottom w:val="none" w:sz="0" w:space="0" w:color="auto"/>
        <w:right w:val="none" w:sz="0" w:space="0" w:color="auto"/>
      </w:divBdr>
    </w:div>
    <w:div w:id="764880780">
      <w:bodyDiv w:val="1"/>
      <w:marLeft w:val="0"/>
      <w:marRight w:val="0"/>
      <w:marTop w:val="0"/>
      <w:marBottom w:val="0"/>
      <w:divBdr>
        <w:top w:val="none" w:sz="0" w:space="0" w:color="auto"/>
        <w:left w:val="none" w:sz="0" w:space="0" w:color="auto"/>
        <w:bottom w:val="none" w:sz="0" w:space="0" w:color="auto"/>
        <w:right w:val="none" w:sz="0" w:space="0" w:color="auto"/>
      </w:divBdr>
    </w:div>
    <w:div w:id="765617626">
      <w:bodyDiv w:val="1"/>
      <w:marLeft w:val="0"/>
      <w:marRight w:val="0"/>
      <w:marTop w:val="0"/>
      <w:marBottom w:val="0"/>
      <w:divBdr>
        <w:top w:val="none" w:sz="0" w:space="0" w:color="auto"/>
        <w:left w:val="none" w:sz="0" w:space="0" w:color="auto"/>
        <w:bottom w:val="none" w:sz="0" w:space="0" w:color="auto"/>
        <w:right w:val="none" w:sz="0" w:space="0" w:color="auto"/>
      </w:divBdr>
    </w:div>
    <w:div w:id="945965300">
      <w:bodyDiv w:val="1"/>
      <w:marLeft w:val="0"/>
      <w:marRight w:val="0"/>
      <w:marTop w:val="0"/>
      <w:marBottom w:val="0"/>
      <w:divBdr>
        <w:top w:val="none" w:sz="0" w:space="0" w:color="auto"/>
        <w:left w:val="none" w:sz="0" w:space="0" w:color="auto"/>
        <w:bottom w:val="none" w:sz="0" w:space="0" w:color="auto"/>
        <w:right w:val="none" w:sz="0" w:space="0" w:color="auto"/>
      </w:divBdr>
    </w:div>
    <w:div w:id="1037007675">
      <w:bodyDiv w:val="1"/>
      <w:marLeft w:val="0"/>
      <w:marRight w:val="0"/>
      <w:marTop w:val="0"/>
      <w:marBottom w:val="0"/>
      <w:divBdr>
        <w:top w:val="none" w:sz="0" w:space="0" w:color="auto"/>
        <w:left w:val="none" w:sz="0" w:space="0" w:color="auto"/>
        <w:bottom w:val="none" w:sz="0" w:space="0" w:color="auto"/>
        <w:right w:val="none" w:sz="0" w:space="0" w:color="auto"/>
      </w:divBdr>
    </w:div>
    <w:div w:id="1040397003">
      <w:bodyDiv w:val="1"/>
      <w:marLeft w:val="0"/>
      <w:marRight w:val="0"/>
      <w:marTop w:val="0"/>
      <w:marBottom w:val="0"/>
      <w:divBdr>
        <w:top w:val="none" w:sz="0" w:space="0" w:color="auto"/>
        <w:left w:val="none" w:sz="0" w:space="0" w:color="auto"/>
        <w:bottom w:val="none" w:sz="0" w:space="0" w:color="auto"/>
        <w:right w:val="none" w:sz="0" w:space="0" w:color="auto"/>
      </w:divBdr>
    </w:div>
    <w:div w:id="1346009689">
      <w:bodyDiv w:val="1"/>
      <w:marLeft w:val="0"/>
      <w:marRight w:val="0"/>
      <w:marTop w:val="0"/>
      <w:marBottom w:val="0"/>
      <w:divBdr>
        <w:top w:val="none" w:sz="0" w:space="0" w:color="auto"/>
        <w:left w:val="none" w:sz="0" w:space="0" w:color="auto"/>
        <w:bottom w:val="none" w:sz="0" w:space="0" w:color="auto"/>
        <w:right w:val="none" w:sz="0" w:space="0" w:color="auto"/>
      </w:divBdr>
    </w:div>
    <w:div w:id="1847859630">
      <w:bodyDiv w:val="1"/>
      <w:marLeft w:val="0"/>
      <w:marRight w:val="0"/>
      <w:marTop w:val="0"/>
      <w:marBottom w:val="0"/>
      <w:divBdr>
        <w:top w:val="none" w:sz="0" w:space="0" w:color="auto"/>
        <w:left w:val="none" w:sz="0" w:space="0" w:color="auto"/>
        <w:bottom w:val="none" w:sz="0" w:space="0" w:color="auto"/>
        <w:right w:val="none" w:sz="0" w:space="0" w:color="auto"/>
      </w:divBdr>
      <w:divsChild>
        <w:div w:id="1820270980">
          <w:marLeft w:val="360"/>
          <w:marRight w:val="0"/>
          <w:marTop w:val="200"/>
          <w:marBottom w:val="0"/>
          <w:divBdr>
            <w:top w:val="none" w:sz="0" w:space="0" w:color="auto"/>
            <w:left w:val="none" w:sz="0" w:space="0" w:color="auto"/>
            <w:bottom w:val="none" w:sz="0" w:space="0" w:color="auto"/>
            <w:right w:val="none" w:sz="0" w:space="0" w:color="auto"/>
          </w:divBdr>
        </w:div>
        <w:div w:id="1096290600">
          <w:marLeft w:val="360"/>
          <w:marRight w:val="0"/>
          <w:marTop w:val="200"/>
          <w:marBottom w:val="0"/>
          <w:divBdr>
            <w:top w:val="none" w:sz="0" w:space="0" w:color="auto"/>
            <w:left w:val="none" w:sz="0" w:space="0" w:color="auto"/>
            <w:bottom w:val="none" w:sz="0" w:space="0" w:color="auto"/>
            <w:right w:val="none" w:sz="0" w:space="0" w:color="auto"/>
          </w:divBdr>
        </w:div>
        <w:div w:id="1482186123">
          <w:marLeft w:val="360"/>
          <w:marRight w:val="0"/>
          <w:marTop w:val="200"/>
          <w:marBottom w:val="0"/>
          <w:divBdr>
            <w:top w:val="none" w:sz="0" w:space="0" w:color="auto"/>
            <w:left w:val="none" w:sz="0" w:space="0" w:color="auto"/>
            <w:bottom w:val="none" w:sz="0" w:space="0" w:color="auto"/>
            <w:right w:val="none" w:sz="0" w:space="0" w:color="auto"/>
          </w:divBdr>
        </w:div>
        <w:div w:id="487483373">
          <w:marLeft w:val="360"/>
          <w:marRight w:val="0"/>
          <w:marTop w:val="200"/>
          <w:marBottom w:val="0"/>
          <w:divBdr>
            <w:top w:val="none" w:sz="0" w:space="0" w:color="auto"/>
            <w:left w:val="none" w:sz="0" w:space="0" w:color="auto"/>
            <w:bottom w:val="none" w:sz="0" w:space="0" w:color="auto"/>
            <w:right w:val="none" w:sz="0" w:space="0" w:color="auto"/>
          </w:divBdr>
        </w:div>
        <w:div w:id="2096853844">
          <w:marLeft w:val="360"/>
          <w:marRight w:val="0"/>
          <w:marTop w:val="200"/>
          <w:marBottom w:val="0"/>
          <w:divBdr>
            <w:top w:val="none" w:sz="0" w:space="0" w:color="auto"/>
            <w:left w:val="none" w:sz="0" w:space="0" w:color="auto"/>
            <w:bottom w:val="none" w:sz="0" w:space="0" w:color="auto"/>
            <w:right w:val="none" w:sz="0" w:space="0" w:color="auto"/>
          </w:divBdr>
        </w:div>
        <w:div w:id="1381440791">
          <w:marLeft w:val="360"/>
          <w:marRight w:val="0"/>
          <w:marTop w:val="200"/>
          <w:marBottom w:val="0"/>
          <w:divBdr>
            <w:top w:val="none" w:sz="0" w:space="0" w:color="auto"/>
            <w:left w:val="none" w:sz="0" w:space="0" w:color="auto"/>
            <w:bottom w:val="none" w:sz="0" w:space="0" w:color="auto"/>
            <w:right w:val="none" w:sz="0" w:space="0" w:color="auto"/>
          </w:divBdr>
        </w:div>
        <w:div w:id="1960185807">
          <w:marLeft w:val="360"/>
          <w:marRight w:val="0"/>
          <w:marTop w:val="200"/>
          <w:marBottom w:val="0"/>
          <w:divBdr>
            <w:top w:val="none" w:sz="0" w:space="0" w:color="auto"/>
            <w:left w:val="none" w:sz="0" w:space="0" w:color="auto"/>
            <w:bottom w:val="none" w:sz="0" w:space="0" w:color="auto"/>
            <w:right w:val="none" w:sz="0" w:space="0" w:color="auto"/>
          </w:divBdr>
        </w:div>
        <w:div w:id="410585793">
          <w:marLeft w:val="360"/>
          <w:marRight w:val="0"/>
          <w:marTop w:val="200"/>
          <w:marBottom w:val="0"/>
          <w:divBdr>
            <w:top w:val="none" w:sz="0" w:space="0" w:color="auto"/>
            <w:left w:val="none" w:sz="0" w:space="0" w:color="auto"/>
            <w:bottom w:val="none" w:sz="0" w:space="0" w:color="auto"/>
            <w:right w:val="none" w:sz="0" w:space="0" w:color="auto"/>
          </w:divBdr>
        </w:div>
        <w:div w:id="1570068750">
          <w:marLeft w:val="360"/>
          <w:marRight w:val="0"/>
          <w:marTop w:val="200"/>
          <w:marBottom w:val="0"/>
          <w:divBdr>
            <w:top w:val="none" w:sz="0" w:space="0" w:color="auto"/>
            <w:left w:val="none" w:sz="0" w:space="0" w:color="auto"/>
            <w:bottom w:val="none" w:sz="0" w:space="0" w:color="auto"/>
            <w:right w:val="none" w:sz="0" w:space="0" w:color="auto"/>
          </w:divBdr>
        </w:div>
        <w:div w:id="85696597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2.sldx"/><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package" Target="embeddings/Microsoft_PowerPoint_Slide6.sldx"/><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package" Target="embeddings/Microsoft_PowerPoint_Slide4.sldx"/><Relationship Id="rId25" Type="http://schemas.openxmlformats.org/officeDocument/2006/relationships/package" Target="embeddings/Microsoft_PowerPoint_Slide8.sldx"/><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Slide1.sldx"/><Relationship Id="rId24" Type="http://schemas.openxmlformats.org/officeDocument/2006/relationships/image" Target="media/image11.emf"/><Relationship Id="rId5" Type="http://schemas.openxmlformats.org/officeDocument/2006/relationships/footnotes" Target="footnotes.xml"/><Relationship Id="rId15" Type="http://schemas.openxmlformats.org/officeDocument/2006/relationships/package" Target="embeddings/Microsoft_PowerPoint_Slide3.sldx"/><Relationship Id="rId23" Type="http://schemas.openxmlformats.org/officeDocument/2006/relationships/package" Target="embeddings/Microsoft_PowerPoint_Slide7.sldx"/><Relationship Id="rId28"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package" Target="embeddings/Microsoft_PowerPoint_Slide5.sldx"/><Relationship Id="rId4" Type="http://schemas.openxmlformats.org/officeDocument/2006/relationships/webSettings" Target="webSettings.xml"/><Relationship Id="rId9" Type="http://schemas.openxmlformats.org/officeDocument/2006/relationships/package" Target="embeddings/Microsoft_PowerPoint_Slide.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PowerPoint_Slide9.sldx"/><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2794</Words>
  <Characters>15929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Abdulrahman Aldarbi</dc:creator>
  <cp:keywords/>
  <dc:description/>
  <cp:lastModifiedBy>Abdulrahman Aldarbi</cp:lastModifiedBy>
  <cp:revision>9</cp:revision>
  <dcterms:created xsi:type="dcterms:W3CDTF">2022-05-27T20:17:00Z</dcterms:created>
  <dcterms:modified xsi:type="dcterms:W3CDTF">2022-06-27T09:52:00Z</dcterms:modified>
</cp:coreProperties>
</file>